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5ECC2" w14:textId="0A912BED" w:rsidR="004503BC" w:rsidRDefault="00982378" w:rsidP="00F60552">
      <w:pPr>
        <w:pStyle w:val="Date"/>
        <w:spacing w:before="0"/>
      </w:pPr>
      <w:bookmarkStart w:id="0" w:name="_GoBack"/>
      <w:bookmarkEnd w:id="0"/>
      <w:r>
        <w:rPr>
          <w:noProof/>
          <w:lang w:eastAsia="en-US"/>
        </w:rPr>
        <mc:AlternateContent>
          <mc:Choice Requires="wps">
            <w:drawing>
              <wp:anchor distT="0" distB="0" distL="114300" distR="114300" simplePos="0" relativeHeight="251659264" behindDoc="0" locked="0" layoutInCell="1" allowOverlap="0" wp14:anchorId="3BD9E858" wp14:editId="42CFE509">
                <wp:simplePos x="0" y="0"/>
                <wp:positionH relativeFrom="margin">
                  <wp:align>right</wp:align>
                </wp:positionH>
                <mc:AlternateContent>
                  <mc:Choice Requires="wp14">
                    <wp:positionV relativeFrom="page">
                      <wp14:pctPosVOffset>5000</wp14:pctPosVOffset>
                    </wp:positionV>
                  </mc:Choice>
                  <mc:Fallback>
                    <wp:positionV relativeFrom="page">
                      <wp:posOffset>502920</wp:posOffset>
                    </wp:positionV>
                  </mc:Fallback>
                </mc:AlternateContent>
                <wp:extent cx="6305550" cy="887095"/>
                <wp:effectExtent l="0" t="0" r="0" b="8255"/>
                <wp:wrapTopAndBottom/>
                <wp:docPr id="2" name="Text Box 2"/>
                <wp:cNvGraphicFramePr/>
                <a:graphic xmlns:a="http://schemas.openxmlformats.org/drawingml/2006/main">
                  <a:graphicData uri="http://schemas.microsoft.com/office/word/2010/wordprocessingShape">
                    <wps:wsp>
                      <wps:cNvSpPr txBox="1"/>
                      <wps:spPr>
                        <a:xfrm>
                          <a:off x="0" y="0"/>
                          <a:ext cx="6305550" cy="887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Pr>
                            <w:tblGrid>
                              <w:gridCol w:w="7564"/>
                              <w:gridCol w:w="2521"/>
                            </w:tblGrid>
                            <w:tr w:rsidR="004503BC" w14:paraId="0BB2FCAC" w14:textId="77777777">
                              <w:tc>
                                <w:tcPr>
                                  <w:tcW w:w="3750" w:type="pct"/>
                                </w:tcPr>
                                <w:p w14:paraId="645A83B1" w14:textId="77777777" w:rsidR="004503BC" w:rsidRDefault="00253612">
                                  <w:pPr>
                                    <w:pStyle w:val="Header"/>
                                  </w:pPr>
                                  <w:r>
                                    <w:t>2640 Presidential Drive</w:t>
                                  </w:r>
                                </w:p>
                                <w:p w14:paraId="7F7AFFAE" w14:textId="77777777" w:rsidR="00253612" w:rsidRDefault="00253612">
                                  <w:pPr>
                                    <w:pStyle w:val="Header"/>
                                  </w:pPr>
                                  <w:r>
                                    <w:t>Suite 160</w:t>
                                  </w:r>
                                </w:p>
                                <w:p w14:paraId="2CAFA302" w14:textId="77777777" w:rsidR="004503BC" w:rsidRDefault="00E0086E">
                                  <w:pPr>
                                    <w:pStyle w:val="Header"/>
                                  </w:pPr>
                                  <w:r>
                                    <w:t xml:space="preserve">Tel </w:t>
                                  </w:r>
                                  <w:r w:rsidR="00253612">
                                    <w:t>937-429-9711</w:t>
                                  </w:r>
                                  <w:r>
                                    <w:t xml:space="preserve"> Fax </w:t>
                                  </w:r>
                                  <w:r w:rsidR="00253612">
                                    <w:t>937-429-9715</w:t>
                                  </w:r>
                                </w:p>
                                <w:p w14:paraId="690D53AC" w14:textId="77777777" w:rsidR="004503BC" w:rsidRDefault="00253612">
                                  <w:pPr>
                                    <w:pStyle w:val="Header"/>
                                  </w:pPr>
                                  <w:r>
                                    <w:t>mccarthy@sonalysts.com</w:t>
                                  </w:r>
                                </w:p>
                                <w:p w14:paraId="3F4FE66B" w14:textId="77777777" w:rsidR="004503BC" w:rsidRDefault="00253612" w:rsidP="00253612">
                                  <w:pPr>
                                    <w:pStyle w:val="Header"/>
                                  </w:pPr>
                                  <w:r>
                                    <w:t>http://www.sonalysts.com</w:t>
                                  </w:r>
                                </w:p>
                              </w:tc>
                              <w:tc>
                                <w:tcPr>
                                  <w:tcW w:w="1250" w:type="pct"/>
                                </w:tcPr>
                                <w:p w14:paraId="77477727" w14:textId="77777777" w:rsidR="004503BC" w:rsidRDefault="004503BC">
                                  <w:pPr>
                                    <w:pStyle w:val="Header"/>
                                    <w:jc w:val="right"/>
                                  </w:pPr>
                                </w:p>
                              </w:tc>
                            </w:tr>
                          </w:tbl>
                          <w:p w14:paraId="6C93FC5E" w14:textId="77777777" w:rsidR="004503BC" w:rsidRDefault="004503BC" w:rsidP="0025361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3BD9E858" id="_x0000_t202" coordsize="21600,21600" o:spt="202" path="m,l,21600r21600,l21600,xe">
                <v:stroke joinstyle="miter"/>
                <v:path gradientshapeok="t" o:connecttype="rect"/>
              </v:shapetype>
              <v:shape id="Text Box 2" o:spid="_x0000_s1026" type="#_x0000_t202" style="position:absolute;margin-left:445.3pt;margin-top:0;width:496.5pt;height:69.85pt;z-index:251659264;visibility:visible;mso-wrap-style:square;mso-width-percent:1000;mso-height-percent:0;mso-top-percent:50;mso-wrap-distance-left:9pt;mso-wrap-distance-top:0;mso-wrap-distance-right:9pt;mso-wrap-distance-bottom:0;mso-position-horizontal:right;mso-position-horizontal-relative:margin;mso-position-vertical-relative:page;mso-width-percent:1000;mso-height-percent:0;mso-top-percent:5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" o:allowoverlap="f" filled="f" stroked="f" strokeweight=".5pt">
                <v:textbox inset="0,0,0,0">
                  <w:txbxContent>
                    <w:tbl>
                      <w:tblPr>
                        <w:tblW w:w="5000" w:type="pct"/>
                        <w:tblCellMar>
                          <w:left w:w="0" w:type="dxa"/>
                          <w:right w:w="0" w:type="dxa"/>
                        </w:tblCellMar>
                        <w:tblLook w:val="04A0" w:firstRow="1" w:lastRow="0" w:firstColumn="1" w:lastColumn="0" w:noHBand="0" w:noVBand="1"/>
                      </w:tblPr>
                      <w:tblGrid>
                        <w:gridCol w:w="7564"/>
                        <w:gridCol w:w="2521"/>
                      </w:tblGrid>
                      <w:tr w:rsidR="004503BC" w14:paraId="0BB2FCAC" w14:textId="77777777">
                        <w:tc>
                          <w:tcPr>
                            <w:tcW w:w="3750" w:type="pct"/>
                          </w:tcPr>
                          <w:p w14:paraId="645A83B1" w14:textId="77777777" w:rsidR="004503BC" w:rsidRDefault="00253612">
                            <w:pPr>
                              <w:pStyle w:val="Header"/>
                            </w:pPr>
                            <w:r>
                              <w:t>2640 Presidential Drive</w:t>
                            </w:r>
                          </w:p>
                          <w:p w14:paraId="7F7AFFAE" w14:textId="77777777" w:rsidR="00253612" w:rsidRDefault="00253612">
                            <w:pPr>
                              <w:pStyle w:val="Header"/>
                            </w:pPr>
                            <w:r>
                              <w:t>Suite 160</w:t>
                            </w:r>
                          </w:p>
                          <w:p w14:paraId="2CAFA302" w14:textId="77777777" w:rsidR="004503BC" w:rsidRDefault="00E0086E">
                            <w:pPr>
                              <w:pStyle w:val="Header"/>
                            </w:pPr>
                            <w:r>
                              <w:t xml:space="preserve">Tel </w:t>
                            </w:r>
                            <w:r w:rsidR="00253612">
                              <w:t>937-429-9711</w:t>
                            </w:r>
                            <w:r>
                              <w:t xml:space="preserve"> Fax </w:t>
                            </w:r>
                            <w:r w:rsidR="00253612">
                              <w:t>937-429-9715</w:t>
                            </w:r>
                          </w:p>
                          <w:p w14:paraId="690D53AC" w14:textId="77777777" w:rsidR="004503BC" w:rsidRDefault="00253612">
                            <w:pPr>
                              <w:pStyle w:val="Header"/>
                            </w:pPr>
                            <w:r>
                              <w:t>mccarthy@sonalysts.com</w:t>
                            </w:r>
                          </w:p>
                          <w:p w14:paraId="3F4FE66B" w14:textId="77777777" w:rsidR="004503BC" w:rsidRDefault="00253612" w:rsidP="00253612">
                            <w:pPr>
                              <w:pStyle w:val="Header"/>
                            </w:pPr>
                            <w:r>
                              <w:t>http://www.sonalysts.com</w:t>
                            </w:r>
                          </w:p>
                        </w:tc>
                        <w:tc>
                          <w:tcPr>
                            <w:tcW w:w="1250" w:type="pct"/>
                          </w:tcPr>
                          <w:p w14:paraId="77477727" w14:textId="77777777" w:rsidR="004503BC" w:rsidRDefault="004503BC">
                            <w:pPr>
                              <w:pStyle w:val="Header"/>
                              <w:jc w:val="right"/>
                            </w:pPr>
                          </w:p>
                        </w:tc>
                      </w:tr>
                    </w:tbl>
                    <w:p w14:paraId="6C93FC5E" w14:textId="77777777" w:rsidR="004503BC" w:rsidRDefault="004503BC" w:rsidP="00253612"/>
                  </w:txbxContent>
                </v:textbox>
                <w10:wrap type="topAndBottom" anchorx="margin" anchory="page"/>
              </v:shape>
            </w:pict>
          </mc:Fallback>
        </mc:AlternateContent>
      </w:r>
      <w:r w:rsidR="006F7D39">
        <w:rPr>
          <w:noProof/>
          <w:lang w:eastAsia="en-US"/>
        </w:rPr>
        <w:drawing>
          <wp:anchor distT="0" distB="0" distL="114300" distR="114300" simplePos="0" relativeHeight="251660288" behindDoc="0" locked="0" layoutInCell="1" allowOverlap="1" wp14:anchorId="3AE04105" wp14:editId="30C11B6C">
            <wp:simplePos x="0" y="0"/>
            <wp:positionH relativeFrom="margin">
              <wp:align>right</wp:align>
            </wp:positionH>
            <wp:positionV relativeFrom="page">
              <wp:posOffset>228600</wp:posOffset>
            </wp:positionV>
            <wp:extent cx="2286000" cy="179388"/>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nalysts logo.jpg"/>
                    <pic:cNvPicPr/>
                  </pic:nvPicPr>
                  <pic:blipFill>
                    <a:blip r:embed="rId10">
                      <a:extLst>
                        <a:ext uri="{28A0092B-C50C-407E-A947-70E740481C1C}">
                          <a14:useLocalDpi xmlns:a14="http://schemas.microsoft.com/office/drawing/2010/main" val="0"/>
                        </a:ext>
                      </a:extLst>
                    </a:blip>
                    <a:stretch>
                      <a:fillRect/>
                    </a:stretch>
                  </pic:blipFill>
                  <pic:spPr>
                    <a:xfrm>
                      <a:off x="0" y="0"/>
                      <a:ext cx="2286000" cy="179388"/>
                    </a:xfrm>
                    <a:prstGeom prst="rect">
                      <a:avLst/>
                    </a:prstGeom>
                  </pic:spPr>
                </pic:pic>
              </a:graphicData>
            </a:graphic>
            <wp14:sizeRelH relativeFrom="margin">
              <wp14:pctWidth>0</wp14:pctWidth>
            </wp14:sizeRelH>
            <wp14:sizeRelV relativeFrom="margin">
              <wp14:pctHeight>0</wp14:pctHeight>
            </wp14:sizeRelV>
          </wp:anchor>
        </w:drawing>
      </w:r>
    </w:p>
    <w:p w14:paraId="328D87D1" w14:textId="6B0F20AA" w:rsidR="00F60552" w:rsidRPr="00F60552" w:rsidRDefault="00F60552" w:rsidP="00F60552">
      <w:pPr>
        <w:spacing w:before="0" w:after="0" w:line="240" w:lineRule="auto"/>
        <w:rPr>
          <w:rFonts w:eastAsia="Times New Roman" w:cs="Times New Roman"/>
          <w:color w:val="auto"/>
          <w:kern w:val="0"/>
          <w:lang w:eastAsia="en-US"/>
        </w:rPr>
      </w:pPr>
      <w:r w:rsidRPr="00F60552">
        <w:rPr>
          <w:rFonts w:eastAsia="Times New Roman" w:cs="Segoe UI"/>
          <w:color w:val="000000"/>
          <w:kern w:val="0"/>
          <w:lang w:eastAsia="en-US"/>
        </w:rPr>
        <w:t>TRI Austin is a team member on Sonalyst's IAC MAC contract.</w:t>
      </w:r>
    </w:p>
    <w:p w14:paraId="5C002046" w14:textId="0EF3D3AC" w:rsidR="00873BBA" w:rsidRPr="005B338F" w:rsidRDefault="00873BBA" w:rsidP="009B4068">
      <w:pPr>
        <w:rPr>
          <w:b/>
          <w:i/>
        </w:rPr>
      </w:pPr>
      <w:r w:rsidRPr="00873BBA">
        <w:t>The mission of the IACs is to collect, analyze, synthesize, produce, and disseminate Scientific and Technical Information (STI) to DoD</w:t>
      </w:r>
      <w:r w:rsidR="00287452">
        <w:t xml:space="preserve"> and Federal government users.  The IACs support efforts in 22 technical focus areas, each of which is associated with a Primary Domain Area.  </w:t>
      </w:r>
      <w:r w:rsidR="006B1652">
        <w:fldChar w:fldCharType="begin"/>
      </w:r>
      <w:r w:rsidR="006B1652">
        <w:instrText xml:space="preserve"> REF _Ref6648431 \h </w:instrText>
      </w:r>
      <w:r w:rsidR="006B1652">
        <w:fldChar w:fldCharType="separate"/>
      </w:r>
      <w:r w:rsidR="00852E55">
        <w:t xml:space="preserve">Table </w:t>
      </w:r>
      <w:r w:rsidR="00852E55">
        <w:rPr>
          <w:noProof/>
        </w:rPr>
        <w:t>1</w:t>
      </w:r>
      <w:r w:rsidR="006B1652">
        <w:fldChar w:fldCharType="end"/>
      </w:r>
      <w:r w:rsidR="00040D8A">
        <w:t xml:space="preserve"> </w:t>
      </w:r>
      <w:r w:rsidR="00287452">
        <w:t>shows the primary domain areas and technical focus areas.</w:t>
      </w:r>
      <w:r w:rsidR="005B338F">
        <w:t xml:space="preserve">  </w:t>
      </w:r>
      <w:r w:rsidR="005B338F" w:rsidRPr="005B338F">
        <w:rPr>
          <w:b/>
          <w:i/>
        </w:rPr>
        <w:t>Given this diversity, nearly any project that produces STI can be placed on this vehicle.</w:t>
      </w:r>
    </w:p>
    <w:p w14:paraId="0BE2FF37" w14:textId="36A11170" w:rsidR="006B1652" w:rsidRDefault="006B1652" w:rsidP="006B1652">
      <w:pPr>
        <w:pStyle w:val="Caption"/>
        <w:keepNext/>
        <w:jc w:val="center"/>
      </w:pPr>
      <w:bookmarkStart w:id="1" w:name="_Ref6648431"/>
      <w:r>
        <w:t xml:space="preserve">Table </w:t>
      </w:r>
      <w:r w:rsidR="007F2A35">
        <w:rPr>
          <w:noProof/>
        </w:rPr>
        <w:fldChar w:fldCharType="begin"/>
      </w:r>
      <w:r w:rsidR="007F2A35">
        <w:rPr>
          <w:noProof/>
        </w:rPr>
        <w:instrText xml:space="preserve"> SEQ Table \* ARABIC </w:instrText>
      </w:r>
      <w:r w:rsidR="007F2A35">
        <w:rPr>
          <w:noProof/>
        </w:rPr>
        <w:fldChar w:fldCharType="separate"/>
      </w:r>
      <w:r w:rsidR="00852E55">
        <w:rPr>
          <w:noProof/>
        </w:rPr>
        <w:t>1</w:t>
      </w:r>
      <w:r w:rsidR="007F2A35">
        <w:rPr>
          <w:noProof/>
        </w:rPr>
        <w:fldChar w:fldCharType="end"/>
      </w:r>
      <w:bookmarkEnd w:id="1"/>
      <w:r>
        <w:t>:  Domain and technical focus areas</w:t>
      </w:r>
    </w:p>
    <w:tbl>
      <w:tblPr>
        <w:tblStyle w:val="LetterheadTable"/>
        <w:tblW w:w="0" w:type="auto"/>
        <w:tblLook w:val="04A0" w:firstRow="1" w:lastRow="0" w:firstColumn="1" w:lastColumn="0" w:noHBand="0" w:noVBand="1"/>
      </w:tblPr>
      <w:tblGrid>
        <w:gridCol w:w="3860"/>
        <w:gridCol w:w="2997"/>
        <w:gridCol w:w="3223"/>
      </w:tblGrid>
      <w:tr w:rsidR="00287452" w14:paraId="67D61E24" w14:textId="77777777" w:rsidTr="009823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659608" w14:textId="77777777" w:rsidR="00287452" w:rsidRDefault="00287452" w:rsidP="00287452">
            <w:pPr>
              <w:jc w:val="center"/>
            </w:pPr>
            <w:r>
              <w:t>Defense Systems</w:t>
            </w:r>
          </w:p>
        </w:tc>
        <w:tc>
          <w:tcPr>
            <w:tcW w:w="0" w:type="auto"/>
            <w:vAlign w:val="center"/>
          </w:tcPr>
          <w:p w14:paraId="3A397B76" w14:textId="77777777" w:rsidR="00287452" w:rsidRDefault="00287452" w:rsidP="00287452">
            <w:pPr>
              <w:jc w:val="center"/>
              <w:cnfStyle w:val="100000000000" w:firstRow="1" w:lastRow="0" w:firstColumn="0" w:lastColumn="0" w:oddVBand="0" w:evenVBand="0" w:oddHBand="0" w:evenHBand="0" w:firstRowFirstColumn="0" w:firstRowLastColumn="0" w:lastRowFirstColumn="0" w:lastRowLastColumn="0"/>
            </w:pPr>
            <w:r>
              <w:t>Cyber security and Information Systems</w:t>
            </w:r>
          </w:p>
        </w:tc>
        <w:tc>
          <w:tcPr>
            <w:tcW w:w="0" w:type="auto"/>
            <w:vAlign w:val="center"/>
          </w:tcPr>
          <w:p w14:paraId="4A422D71" w14:textId="77777777" w:rsidR="00287452" w:rsidRDefault="00287452" w:rsidP="00287452">
            <w:pPr>
              <w:jc w:val="center"/>
              <w:cnfStyle w:val="100000000000" w:firstRow="1" w:lastRow="0" w:firstColumn="0" w:lastColumn="0" w:oddVBand="0" w:evenVBand="0" w:oddHBand="0" w:evenHBand="0" w:firstRowFirstColumn="0" w:firstRowLastColumn="0" w:lastRowFirstColumn="0" w:lastRowLastColumn="0"/>
            </w:pPr>
            <w:r>
              <w:t>Homeland Defense and Security</w:t>
            </w:r>
          </w:p>
        </w:tc>
      </w:tr>
      <w:tr w:rsidR="00287452" w14:paraId="50DEA563" w14:textId="77777777" w:rsidTr="00982378">
        <w:tc>
          <w:tcPr>
            <w:cnfStyle w:val="001000000000" w:firstRow="0" w:lastRow="0" w:firstColumn="1" w:lastColumn="0" w:oddVBand="0" w:evenVBand="0" w:oddHBand="0" w:evenHBand="0" w:firstRowFirstColumn="0" w:firstRowLastColumn="0" w:lastRowFirstColumn="0" w:lastRowLastColumn="0"/>
            <w:tcW w:w="0" w:type="auto"/>
            <w:vAlign w:val="center"/>
          </w:tcPr>
          <w:p w14:paraId="1C4F3FF8" w14:textId="77777777" w:rsidR="00287452" w:rsidRPr="006B1652" w:rsidRDefault="00287452" w:rsidP="0076609E">
            <w:pPr>
              <w:rPr>
                <w:b w:val="0"/>
              </w:rPr>
            </w:pPr>
            <w:r w:rsidRPr="006B1652">
              <w:rPr>
                <w:b w:val="0"/>
              </w:rPr>
              <w:t>Weapon Systems</w:t>
            </w:r>
          </w:p>
        </w:tc>
        <w:tc>
          <w:tcPr>
            <w:tcW w:w="0" w:type="auto"/>
            <w:vAlign w:val="center"/>
          </w:tcPr>
          <w:p w14:paraId="2755CE5C" w14:textId="77777777" w:rsidR="00287452" w:rsidRDefault="006B1652" w:rsidP="0076609E">
            <w:pPr>
              <w:cnfStyle w:val="000000000000" w:firstRow="0" w:lastRow="0" w:firstColumn="0" w:lastColumn="0" w:oddVBand="0" w:evenVBand="0" w:oddHBand="0" w:evenHBand="0" w:firstRowFirstColumn="0" w:firstRowLastColumn="0" w:lastRowFirstColumn="0" w:lastRowLastColumn="0"/>
            </w:pPr>
            <w:r>
              <w:t>Software and Data Analysis</w:t>
            </w:r>
          </w:p>
        </w:tc>
        <w:tc>
          <w:tcPr>
            <w:tcW w:w="0" w:type="auto"/>
            <w:vAlign w:val="center"/>
          </w:tcPr>
          <w:p w14:paraId="21DA5AEB" w14:textId="77777777" w:rsidR="00287452" w:rsidRDefault="006B1652" w:rsidP="0076609E">
            <w:pPr>
              <w:cnfStyle w:val="000000000000" w:firstRow="0" w:lastRow="0" w:firstColumn="0" w:lastColumn="0" w:oddVBand="0" w:evenVBand="0" w:oddHBand="0" w:evenHBand="0" w:firstRowFirstColumn="0" w:firstRowLastColumn="0" w:lastRowFirstColumn="0" w:lastRowLastColumn="0"/>
            </w:pPr>
            <w:r>
              <w:t>Homeland Defense and Security</w:t>
            </w:r>
          </w:p>
        </w:tc>
      </w:tr>
      <w:tr w:rsidR="00287452" w14:paraId="0A6D92ED" w14:textId="77777777" w:rsidTr="00982378">
        <w:tc>
          <w:tcPr>
            <w:cnfStyle w:val="001000000000" w:firstRow="0" w:lastRow="0" w:firstColumn="1" w:lastColumn="0" w:oddVBand="0" w:evenVBand="0" w:oddHBand="0" w:evenHBand="0" w:firstRowFirstColumn="0" w:firstRowLastColumn="0" w:lastRowFirstColumn="0" w:lastRowLastColumn="0"/>
            <w:tcW w:w="0" w:type="auto"/>
            <w:vAlign w:val="center"/>
          </w:tcPr>
          <w:p w14:paraId="087BB3C4" w14:textId="77777777" w:rsidR="00287452" w:rsidRPr="006B1652" w:rsidRDefault="00287452" w:rsidP="0076609E">
            <w:pPr>
              <w:rPr>
                <w:b w:val="0"/>
              </w:rPr>
            </w:pPr>
            <w:r w:rsidRPr="006B1652">
              <w:rPr>
                <w:b w:val="0"/>
              </w:rPr>
              <w:t>Survivability and Vulnerability</w:t>
            </w:r>
          </w:p>
        </w:tc>
        <w:tc>
          <w:tcPr>
            <w:tcW w:w="0" w:type="auto"/>
            <w:vAlign w:val="center"/>
          </w:tcPr>
          <w:p w14:paraId="0CAC0FCB" w14:textId="77777777" w:rsidR="00287452" w:rsidRDefault="006B1652" w:rsidP="0076609E">
            <w:pPr>
              <w:cnfStyle w:val="000000000000" w:firstRow="0" w:lastRow="0" w:firstColumn="0" w:lastColumn="0" w:oddVBand="0" w:evenVBand="0" w:oddHBand="0" w:evenHBand="0" w:firstRowFirstColumn="0" w:firstRowLastColumn="0" w:lastRowFirstColumn="0" w:lastRowLastColumn="0"/>
            </w:pPr>
            <w:r>
              <w:t>Cybersecurity</w:t>
            </w:r>
          </w:p>
        </w:tc>
        <w:tc>
          <w:tcPr>
            <w:tcW w:w="0" w:type="auto"/>
            <w:vAlign w:val="center"/>
          </w:tcPr>
          <w:p w14:paraId="3FE68AF4" w14:textId="5F0513C4" w:rsidR="00287452" w:rsidRDefault="006B1652" w:rsidP="0076609E">
            <w:pPr>
              <w:cnfStyle w:val="000000000000" w:firstRow="0" w:lastRow="0" w:firstColumn="0" w:lastColumn="0" w:oddVBand="0" w:evenVBand="0" w:oddHBand="0" w:evenHBand="0" w:firstRowFirstColumn="0" w:firstRowLastColumn="0" w:lastRowFirstColumn="0" w:lastRowLastColumn="0"/>
            </w:pPr>
            <w:r>
              <w:t>Weapons of Mass Destruction</w:t>
            </w:r>
          </w:p>
        </w:tc>
      </w:tr>
      <w:tr w:rsidR="00287452" w14:paraId="4631D5D9" w14:textId="77777777" w:rsidTr="00982378">
        <w:tc>
          <w:tcPr>
            <w:cnfStyle w:val="001000000000" w:firstRow="0" w:lastRow="0" w:firstColumn="1" w:lastColumn="0" w:oddVBand="0" w:evenVBand="0" w:oddHBand="0" w:evenHBand="0" w:firstRowFirstColumn="0" w:firstRowLastColumn="0" w:lastRowFirstColumn="0" w:lastRowLastColumn="0"/>
            <w:tcW w:w="0" w:type="auto"/>
            <w:vAlign w:val="center"/>
          </w:tcPr>
          <w:p w14:paraId="28AA513C" w14:textId="77777777" w:rsidR="00287452" w:rsidRPr="006B1652" w:rsidRDefault="00287452" w:rsidP="0076609E">
            <w:pPr>
              <w:rPr>
                <w:b w:val="0"/>
              </w:rPr>
            </w:pPr>
            <w:r w:rsidRPr="006B1652">
              <w:rPr>
                <w:b w:val="0"/>
              </w:rPr>
              <w:t>Military Sensing</w:t>
            </w:r>
          </w:p>
        </w:tc>
        <w:tc>
          <w:tcPr>
            <w:tcW w:w="0" w:type="auto"/>
            <w:vAlign w:val="center"/>
          </w:tcPr>
          <w:p w14:paraId="28FB3B0C" w14:textId="77777777" w:rsidR="00287452" w:rsidRDefault="006B1652" w:rsidP="0076609E">
            <w:pPr>
              <w:cnfStyle w:val="000000000000" w:firstRow="0" w:lastRow="0" w:firstColumn="0" w:lastColumn="0" w:oddVBand="0" w:evenVBand="0" w:oddHBand="0" w:evenHBand="0" w:firstRowFirstColumn="0" w:firstRowLastColumn="0" w:lastRowFirstColumn="0" w:lastRowLastColumn="0"/>
            </w:pPr>
            <w:r>
              <w:t>Knowledge Management and Information Sharing</w:t>
            </w:r>
          </w:p>
        </w:tc>
        <w:tc>
          <w:tcPr>
            <w:tcW w:w="0" w:type="auto"/>
            <w:vAlign w:val="center"/>
          </w:tcPr>
          <w:p w14:paraId="49150371" w14:textId="77777777" w:rsidR="00287452" w:rsidRDefault="006B1652" w:rsidP="0076609E">
            <w:pPr>
              <w:cnfStyle w:val="000000000000" w:firstRow="0" w:lastRow="0" w:firstColumn="0" w:lastColumn="0" w:oddVBand="0" w:evenVBand="0" w:oddHBand="0" w:evenHBand="0" w:firstRowFirstColumn="0" w:firstRowLastColumn="0" w:lastRowFirstColumn="0" w:lastRowLastColumn="0"/>
            </w:pPr>
            <w:r>
              <w:t>Alternative Energy</w:t>
            </w:r>
          </w:p>
        </w:tc>
      </w:tr>
      <w:tr w:rsidR="00287452" w14:paraId="567023E5" w14:textId="77777777" w:rsidTr="00982378">
        <w:tc>
          <w:tcPr>
            <w:cnfStyle w:val="001000000000" w:firstRow="0" w:lastRow="0" w:firstColumn="1" w:lastColumn="0" w:oddVBand="0" w:evenVBand="0" w:oddHBand="0" w:evenHBand="0" w:firstRowFirstColumn="0" w:firstRowLastColumn="0" w:lastRowFirstColumn="0" w:lastRowLastColumn="0"/>
            <w:tcW w:w="0" w:type="auto"/>
            <w:vAlign w:val="center"/>
          </w:tcPr>
          <w:p w14:paraId="00E5D0D5" w14:textId="24B7DC34" w:rsidR="00287452" w:rsidRPr="006B1652" w:rsidRDefault="006B1652" w:rsidP="00982378">
            <w:pPr>
              <w:rPr>
                <w:b w:val="0"/>
              </w:rPr>
            </w:pPr>
            <w:r w:rsidRPr="006B1652">
              <w:rPr>
                <w:b w:val="0"/>
              </w:rPr>
              <w:t>Reliability, Maintainabi</w:t>
            </w:r>
            <w:r>
              <w:rPr>
                <w:b w:val="0"/>
              </w:rPr>
              <w:t>lity, Quality, Supportability, a</w:t>
            </w:r>
            <w:r w:rsidRPr="006B1652">
              <w:rPr>
                <w:b w:val="0"/>
              </w:rPr>
              <w:t>nd Interoperability</w:t>
            </w:r>
            <w:r w:rsidR="00982378">
              <w:rPr>
                <w:b w:val="0"/>
              </w:rPr>
              <w:t xml:space="preserve"> </w:t>
            </w:r>
          </w:p>
        </w:tc>
        <w:tc>
          <w:tcPr>
            <w:tcW w:w="0" w:type="auto"/>
            <w:vAlign w:val="center"/>
          </w:tcPr>
          <w:p w14:paraId="0B893D8B" w14:textId="77777777" w:rsidR="00287452" w:rsidRDefault="006B1652" w:rsidP="0076609E">
            <w:pPr>
              <w:cnfStyle w:val="000000000000" w:firstRow="0" w:lastRow="0" w:firstColumn="0" w:lastColumn="0" w:oddVBand="0" w:evenVBand="0" w:oddHBand="0" w:evenHBand="0" w:firstRowFirstColumn="0" w:firstRowLastColumn="0" w:lastRowFirstColumn="0" w:lastRowLastColumn="0"/>
            </w:pPr>
            <w:r>
              <w:t>Modeling and Simulation</w:t>
            </w:r>
          </w:p>
        </w:tc>
        <w:tc>
          <w:tcPr>
            <w:tcW w:w="0" w:type="auto"/>
            <w:vAlign w:val="center"/>
          </w:tcPr>
          <w:p w14:paraId="2B0ABFE3" w14:textId="77777777" w:rsidR="00287452" w:rsidRDefault="006B1652" w:rsidP="0076609E">
            <w:pPr>
              <w:cnfStyle w:val="000000000000" w:firstRow="0" w:lastRow="0" w:firstColumn="0" w:lastColumn="0" w:oddVBand="0" w:evenVBand="0" w:oddHBand="0" w:evenHBand="0" w:firstRowFirstColumn="0" w:firstRowLastColumn="0" w:lastRowFirstColumn="0" w:lastRowLastColumn="0"/>
            </w:pPr>
            <w:r>
              <w:t>Biometrics</w:t>
            </w:r>
          </w:p>
        </w:tc>
      </w:tr>
      <w:tr w:rsidR="00287452" w14:paraId="1C42981B" w14:textId="77777777" w:rsidTr="00982378">
        <w:tc>
          <w:tcPr>
            <w:cnfStyle w:val="001000000000" w:firstRow="0" w:lastRow="0" w:firstColumn="1" w:lastColumn="0" w:oddVBand="0" w:evenVBand="0" w:oddHBand="0" w:evenHBand="0" w:firstRowFirstColumn="0" w:firstRowLastColumn="0" w:lastRowFirstColumn="0" w:lastRowLastColumn="0"/>
            <w:tcW w:w="0" w:type="auto"/>
            <w:vAlign w:val="center"/>
          </w:tcPr>
          <w:p w14:paraId="271DE1C5" w14:textId="77777777" w:rsidR="00287452" w:rsidRPr="006B1652" w:rsidRDefault="00287452" w:rsidP="0076609E">
            <w:pPr>
              <w:rPr>
                <w:b w:val="0"/>
              </w:rPr>
            </w:pPr>
            <w:r w:rsidRPr="006B1652">
              <w:rPr>
                <w:b w:val="0"/>
              </w:rPr>
              <w:t>Autonomous Systems</w:t>
            </w:r>
          </w:p>
        </w:tc>
        <w:tc>
          <w:tcPr>
            <w:tcW w:w="0" w:type="auto"/>
            <w:vAlign w:val="center"/>
          </w:tcPr>
          <w:p w14:paraId="406B0EFE" w14:textId="77777777" w:rsidR="00287452" w:rsidRDefault="00287452" w:rsidP="0076609E">
            <w:pPr>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662B0A9A" w14:textId="77777777" w:rsidR="00287452" w:rsidRDefault="006B1652" w:rsidP="0076609E">
            <w:pPr>
              <w:cnfStyle w:val="000000000000" w:firstRow="0" w:lastRow="0" w:firstColumn="0" w:lastColumn="0" w:oddVBand="0" w:evenVBand="0" w:oddHBand="0" w:evenHBand="0" w:firstRowFirstColumn="0" w:firstRowLastColumn="0" w:lastRowFirstColumn="0" w:lastRowLastColumn="0"/>
            </w:pPr>
            <w:r>
              <w:t>Critical Infrastructure Protection</w:t>
            </w:r>
          </w:p>
        </w:tc>
      </w:tr>
      <w:tr w:rsidR="00287452" w14:paraId="0FE2F2C2" w14:textId="77777777" w:rsidTr="00982378">
        <w:tc>
          <w:tcPr>
            <w:cnfStyle w:val="001000000000" w:firstRow="0" w:lastRow="0" w:firstColumn="1" w:lastColumn="0" w:oddVBand="0" w:evenVBand="0" w:oddHBand="0" w:evenHBand="0" w:firstRowFirstColumn="0" w:firstRowLastColumn="0" w:lastRowFirstColumn="0" w:lastRowLastColumn="0"/>
            <w:tcW w:w="0" w:type="auto"/>
            <w:vAlign w:val="center"/>
          </w:tcPr>
          <w:p w14:paraId="41D1F556" w14:textId="77777777" w:rsidR="00287452" w:rsidRPr="006B1652" w:rsidRDefault="00287452" w:rsidP="0076609E">
            <w:pPr>
              <w:rPr>
                <w:b w:val="0"/>
              </w:rPr>
            </w:pPr>
            <w:r w:rsidRPr="006B1652">
              <w:rPr>
                <w:b w:val="0"/>
              </w:rPr>
              <w:t>Non-lethal Weapons</w:t>
            </w:r>
          </w:p>
        </w:tc>
        <w:tc>
          <w:tcPr>
            <w:tcW w:w="0" w:type="auto"/>
            <w:vAlign w:val="center"/>
          </w:tcPr>
          <w:p w14:paraId="2EBDC08E" w14:textId="77777777" w:rsidR="00287452" w:rsidRDefault="00287452" w:rsidP="0076609E">
            <w:pPr>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4090D909" w14:textId="77777777" w:rsidR="00287452" w:rsidRDefault="006B1652" w:rsidP="0076609E">
            <w:pPr>
              <w:cnfStyle w:val="000000000000" w:firstRow="0" w:lastRow="0" w:firstColumn="0" w:lastColumn="0" w:oddVBand="0" w:evenVBand="0" w:oddHBand="0" w:evenHBand="0" w:firstRowFirstColumn="0" w:firstRowLastColumn="0" w:lastRowFirstColumn="0" w:lastRowLastColumn="0"/>
            </w:pPr>
            <w:r>
              <w:t>Medical</w:t>
            </w:r>
          </w:p>
        </w:tc>
      </w:tr>
      <w:tr w:rsidR="00287452" w14:paraId="41616D65" w14:textId="77777777" w:rsidTr="00982378">
        <w:tc>
          <w:tcPr>
            <w:cnfStyle w:val="001000000000" w:firstRow="0" w:lastRow="0" w:firstColumn="1" w:lastColumn="0" w:oddVBand="0" w:evenVBand="0" w:oddHBand="0" w:evenHBand="0" w:firstRowFirstColumn="0" w:firstRowLastColumn="0" w:lastRowFirstColumn="0" w:lastRowLastColumn="0"/>
            <w:tcW w:w="0" w:type="auto"/>
            <w:vAlign w:val="center"/>
          </w:tcPr>
          <w:p w14:paraId="1087B0B4" w14:textId="77777777" w:rsidR="00287452" w:rsidRPr="006B1652" w:rsidRDefault="00287452" w:rsidP="0076609E">
            <w:pPr>
              <w:rPr>
                <w:b w:val="0"/>
              </w:rPr>
            </w:pPr>
            <w:r w:rsidRPr="006B1652">
              <w:rPr>
                <w:b w:val="0"/>
              </w:rPr>
              <w:t>Advanced Materials</w:t>
            </w:r>
          </w:p>
        </w:tc>
        <w:tc>
          <w:tcPr>
            <w:tcW w:w="0" w:type="auto"/>
            <w:vAlign w:val="center"/>
          </w:tcPr>
          <w:p w14:paraId="4092B405" w14:textId="77777777" w:rsidR="00287452" w:rsidRDefault="00287452" w:rsidP="0076609E">
            <w:pPr>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5710FA5C" w14:textId="77777777" w:rsidR="00287452" w:rsidRDefault="006B1652" w:rsidP="0076609E">
            <w:pPr>
              <w:cnfStyle w:val="000000000000" w:firstRow="0" w:lastRow="0" w:firstColumn="0" w:lastColumn="0" w:oddVBand="0" w:evenVBand="0" w:oddHBand="0" w:evenHBand="0" w:firstRowFirstColumn="0" w:firstRowLastColumn="0" w:lastRowFirstColumn="0" w:lastRowLastColumn="0"/>
            </w:pPr>
            <w:r>
              <w:t>Cultural Studies</w:t>
            </w:r>
          </w:p>
        </w:tc>
      </w:tr>
      <w:tr w:rsidR="00287452" w14:paraId="10FAA9A8" w14:textId="77777777" w:rsidTr="00982378">
        <w:tc>
          <w:tcPr>
            <w:cnfStyle w:val="001000000000" w:firstRow="0" w:lastRow="0" w:firstColumn="1" w:lastColumn="0" w:oddVBand="0" w:evenVBand="0" w:oddHBand="0" w:evenHBand="0" w:firstRowFirstColumn="0" w:firstRowLastColumn="0" w:lastRowFirstColumn="0" w:lastRowLastColumn="0"/>
            <w:tcW w:w="0" w:type="auto"/>
            <w:vAlign w:val="center"/>
          </w:tcPr>
          <w:p w14:paraId="51AE8A97" w14:textId="77777777" w:rsidR="00287452" w:rsidRPr="006B1652" w:rsidRDefault="00287452" w:rsidP="0076609E">
            <w:pPr>
              <w:rPr>
                <w:b w:val="0"/>
              </w:rPr>
            </w:pPr>
            <w:r w:rsidRPr="006B1652">
              <w:rPr>
                <w:b w:val="0"/>
              </w:rPr>
              <w:t>Energetics</w:t>
            </w:r>
          </w:p>
        </w:tc>
        <w:tc>
          <w:tcPr>
            <w:tcW w:w="0" w:type="auto"/>
            <w:vAlign w:val="center"/>
          </w:tcPr>
          <w:p w14:paraId="3007A6F6" w14:textId="77777777" w:rsidR="00287452" w:rsidRDefault="00287452" w:rsidP="0076609E">
            <w:pPr>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309CF89F" w14:textId="66B41E1E" w:rsidR="00287452" w:rsidRDefault="00982378" w:rsidP="0076609E">
            <w:pPr>
              <w:cnfStyle w:val="000000000000" w:firstRow="0" w:lastRow="0" w:firstColumn="0" w:lastColumn="0" w:oddVBand="0" w:evenVBand="0" w:oddHBand="0" w:evenHBand="0" w:firstRowFirstColumn="0" w:firstRowLastColumn="0" w:lastRowFirstColumn="0" w:lastRowLastColumn="0"/>
            </w:pPr>
            <w:r>
              <w:t>Chemical, Biological, Radiological, Nuclear, and Explosive</w:t>
            </w:r>
          </w:p>
        </w:tc>
      </w:tr>
      <w:tr w:rsidR="00287452" w14:paraId="2A76CACA" w14:textId="77777777" w:rsidTr="00982378">
        <w:tc>
          <w:tcPr>
            <w:cnfStyle w:val="001000000000" w:firstRow="0" w:lastRow="0" w:firstColumn="1" w:lastColumn="0" w:oddVBand="0" w:evenVBand="0" w:oddHBand="0" w:evenHBand="0" w:firstRowFirstColumn="0" w:firstRowLastColumn="0" w:lastRowFirstColumn="0" w:lastRowLastColumn="0"/>
            <w:tcW w:w="0" w:type="auto"/>
            <w:vAlign w:val="center"/>
          </w:tcPr>
          <w:p w14:paraId="7B4B46DA" w14:textId="77777777" w:rsidR="00287452" w:rsidRPr="006B1652" w:rsidRDefault="00287452" w:rsidP="0076609E">
            <w:pPr>
              <w:rPr>
                <w:b w:val="0"/>
              </w:rPr>
            </w:pPr>
            <w:r w:rsidRPr="006B1652">
              <w:rPr>
                <w:b w:val="0"/>
              </w:rPr>
              <w:t>Directed Energy</w:t>
            </w:r>
          </w:p>
        </w:tc>
        <w:tc>
          <w:tcPr>
            <w:tcW w:w="0" w:type="auto"/>
            <w:vAlign w:val="center"/>
          </w:tcPr>
          <w:p w14:paraId="11EA1B93" w14:textId="77777777" w:rsidR="00287452" w:rsidRDefault="00287452" w:rsidP="0076609E">
            <w:pPr>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5D308BFA" w14:textId="77777777" w:rsidR="00287452" w:rsidRDefault="00287452" w:rsidP="0076609E">
            <w:pPr>
              <w:cnfStyle w:val="000000000000" w:firstRow="0" w:lastRow="0" w:firstColumn="0" w:lastColumn="0" w:oddVBand="0" w:evenVBand="0" w:oddHBand="0" w:evenHBand="0" w:firstRowFirstColumn="0" w:firstRowLastColumn="0" w:lastRowFirstColumn="0" w:lastRowLastColumn="0"/>
            </w:pPr>
          </w:p>
        </w:tc>
      </w:tr>
      <w:tr w:rsidR="00287452" w14:paraId="0BAA27B0" w14:textId="77777777" w:rsidTr="00982378">
        <w:tc>
          <w:tcPr>
            <w:cnfStyle w:val="001000000000" w:firstRow="0" w:lastRow="0" w:firstColumn="1" w:lastColumn="0" w:oddVBand="0" w:evenVBand="0" w:oddHBand="0" w:evenHBand="0" w:firstRowFirstColumn="0" w:firstRowLastColumn="0" w:lastRowFirstColumn="0" w:lastRowLastColumn="0"/>
            <w:tcW w:w="0" w:type="auto"/>
            <w:vAlign w:val="center"/>
          </w:tcPr>
          <w:p w14:paraId="2A4E8079" w14:textId="1278ABE0" w:rsidR="00287452" w:rsidRPr="006B1652" w:rsidRDefault="00287452" w:rsidP="00982378">
            <w:pPr>
              <w:rPr>
                <w:b w:val="0"/>
              </w:rPr>
            </w:pPr>
            <w:r w:rsidRPr="006B1652">
              <w:rPr>
                <w:b w:val="0"/>
              </w:rPr>
              <w:t>C4IS</w:t>
            </w:r>
            <w:r w:rsidR="00982378">
              <w:rPr>
                <w:b w:val="0"/>
              </w:rPr>
              <w:t>R</w:t>
            </w:r>
          </w:p>
        </w:tc>
        <w:tc>
          <w:tcPr>
            <w:tcW w:w="0" w:type="auto"/>
            <w:vAlign w:val="center"/>
          </w:tcPr>
          <w:p w14:paraId="20A37AAD" w14:textId="77777777" w:rsidR="00287452" w:rsidRDefault="00287452" w:rsidP="0076609E">
            <w:pPr>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3AA5F4B9" w14:textId="77777777" w:rsidR="00287452" w:rsidRDefault="00287452" w:rsidP="0076609E">
            <w:pPr>
              <w:cnfStyle w:val="000000000000" w:firstRow="0" w:lastRow="0" w:firstColumn="0" w:lastColumn="0" w:oddVBand="0" w:evenVBand="0" w:oddHBand="0" w:evenHBand="0" w:firstRowFirstColumn="0" w:firstRowLastColumn="0" w:lastRowFirstColumn="0" w:lastRowLastColumn="0"/>
            </w:pPr>
          </w:p>
        </w:tc>
      </w:tr>
    </w:tbl>
    <w:p w14:paraId="19C1538C" w14:textId="1F6FACFA" w:rsidR="006F7D39" w:rsidRDefault="005B338F" w:rsidP="00D912D2">
      <w:pPr>
        <w:spacing w:before="240"/>
      </w:pPr>
      <w:r>
        <w:t>In addition to this broad coverage, the IAC MAC provides several other contracting advantages.  The IACs pride themselves on agile and low-cost contracting support.</w:t>
      </w:r>
      <w:r w:rsidR="00937840">
        <w:t xml:space="preserve">  A dedicated contracting office will assist you throughout the entire source-selection process, from defining requirements, through proposal evaluation, and on to the award and management of resultant contracts.  Moreover, the IAC MAC vehicle has low contracting costs – a </w:t>
      </w:r>
      <w:r w:rsidR="00937840" w:rsidRPr="00937840">
        <w:t>Customer Shared Direct Cost</w:t>
      </w:r>
      <w:r w:rsidR="00937840">
        <w:t xml:space="preserve"> value of 1%.  For these reasons, on July 27, 2018 the Director</w:t>
      </w:r>
      <w:r w:rsidR="00040D8A">
        <w:t xml:space="preserve"> of</w:t>
      </w:r>
      <w:r w:rsidR="00937840">
        <w:t xml:space="preserve"> Defense Pricing and Contracting and the Assistant Secretary of Defense for Research &amp; Engineering signed a joint letter that encourages Requiring Officers and Contracting Officers to </w:t>
      </w:r>
      <w:r w:rsidR="00937840" w:rsidRPr="00937840">
        <w:rPr>
          <w:b/>
          <w:i/>
        </w:rPr>
        <w:t>use the IAC MACs as best value vehicles to acquire services that fall within the applicable scope areas.</w:t>
      </w:r>
    </w:p>
    <w:p w14:paraId="6671C0E7" w14:textId="440F4569" w:rsidR="00982378" w:rsidRDefault="0076609E" w:rsidP="000E1173">
      <w:pPr>
        <w:sectPr w:rsidR="00982378">
          <w:footerReference w:type="default" r:id="rId11"/>
          <w:pgSz w:w="12240" w:h="15840" w:code="1"/>
          <w:pgMar w:top="2736" w:right="1080" w:bottom="1080" w:left="1080" w:header="864" w:footer="720" w:gutter="0"/>
          <w:cols w:space="720"/>
          <w:titlePg/>
          <w:docGrid w:linePitch="360"/>
        </w:sectPr>
      </w:pPr>
      <w:r>
        <w:t>In summary, the IAC MAC provides a fast, flexible, and inexpensive contracting option for o</w:t>
      </w:r>
      <w:r w:rsidRPr="0076609E">
        <w:t>perational RDT&amp;E services and other R&amp;D-related analytical services</w:t>
      </w:r>
      <w:r>
        <w:t xml:space="preserve">.  The contract allows for incremental funding of severable task orders with no minimum ceiling.  </w:t>
      </w:r>
      <w:r w:rsidR="00982378">
        <w:t xml:space="preserve">Two pools of pre-screened contractors exist.  The small-business pool is appropriate for contracts with ceilings less than $15M.  The unrestricted pool is appropriate for contracts with ceilings greater than $15M.  </w:t>
      </w:r>
      <w:r>
        <w:t>Periods of performance of up to 60 months are acceptable.  In practice, the goal is to establish contracts with ceilings of at least $1M and a period of performance in the range of 48 months.</w:t>
      </w:r>
      <w:r w:rsidR="000E1173">
        <w:t xml:space="preserve">  Specific orders within an IAC MAC contract can use any contract type, including hybrids (CPFF, FFP, FFP-LOE) and may support classified and unclassified services (Up to Top Secret (compartmented and collateral)).  The work can be performed </w:t>
      </w:r>
      <w:r w:rsidR="00982378">
        <w:t>in CONUS and OCONUS locations (i</w:t>
      </w:r>
      <w:r w:rsidR="000E1173">
        <w:t>ncluding in-theater and contingency operations areas)</w:t>
      </w:r>
    </w:p>
    <w:p w14:paraId="24AA0C06" w14:textId="443883C4" w:rsidR="00982378" w:rsidRPr="00982378" w:rsidRDefault="00982378" w:rsidP="00F60552">
      <w:pPr>
        <w:jc w:val="center"/>
        <w:rPr>
          <w:b/>
          <w:sz w:val="32"/>
        </w:rPr>
      </w:pPr>
      <w:r w:rsidRPr="00982378">
        <w:rPr>
          <w:b/>
          <w:sz w:val="32"/>
        </w:rPr>
        <w:lastRenderedPageBreak/>
        <w:t>Attachment 1</w:t>
      </w:r>
    </w:p>
    <w:p w14:paraId="4723D0DE" w14:textId="79DE92B1" w:rsidR="00982378" w:rsidRPr="00982378" w:rsidRDefault="00982378" w:rsidP="00982378">
      <w:pPr>
        <w:jc w:val="center"/>
        <w:rPr>
          <w:b/>
          <w:sz w:val="24"/>
        </w:rPr>
      </w:pPr>
      <w:r w:rsidRPr="00982378">
        <w:rPr>
          <w:b/>
          <w:sz w:val="24"/>
        </w:rPr>
        <w:t>Ordering Guide</w:t>
      </w:r>
    </w:p>
    <w:p w14:paraId="65936054" w14:textId="77777777" w:rsidR="00982378" w:rsidRDefault="00982378" w:rsidP="000E1173"/>
    <w:p w14:paraId="56497544" w14:textId="04258B38" w:rsidR="000E1173" w:rsidRDefault="000E1173" w:rsidP="000E1173">
      <w:r>
        <w:t>When using the IAC MAC, customers (known as requiring activities</w:t>
      </w:r>
      <w:r w:rsidR="001E7626">
        <w:t xml:space="preserve"> or “RAs”</w:t>
      </w:r>
      <w:r>
        <w:t xml:space="preserve">) are supported throughout the process by a customer support cell.  The lead of this cell is Paul Jeng, 937-231-8588, </w:t>
      </w:r>
      <w:hyperlink r:id="rId12" w:history="1">
        <w:r w:rsidRPr="002F008E">
          <w:rPr>
            <w:rStyle w:val="Hyperlink"/>
          </w:rPr>
          <w:t>dtic.belvoir.iac.mbx.csc@mail.mil</w:t>
        </w:r>
      </w:hyperlink>
      <w:r>
        <w:t>.  There are eight steps to the process:</w:t>
      </w:r>
    </w:p>
    <w:p w14:paraId="5B249CD9" w14:textId="77777777" w:rsidR="000E1173" w:rsidRDefault="000E1173" w:rsidP="000E1173">
      <w:pPr>
        <w:pStyle w:val="ListParagraph"/>
        <w:numPr>
          <w:ilvl w:val="0"/>
          <w:numId w:val="2"/>
        </w:numPr>
      </w:pPr>
      <w:r>
        <w:t>Requiring Activity (RA) contacts DOD IAC program with requirement.</w:t>
      </w:r>
    </w:p>
    <w:p w14:paraId="26A2274C" w14:textId="13C0EC01" w:rsidR="000E1173" w:rsidRDefault="00C1361C" w:rsidP="000E1173">
      <w:pPr>
        <w:pStyle w:val="ListParagraph"/>
        <w:numPr>
          <w:ilvl w:val="0"/>
          <w:numId w:val="2"/>
        </w:numPr>
      </w:pPr>
      <w:r>
        <w:t xml:space="preserve">The RA provides </w:t>
      </w:r>
      <w:r w:rsidR="00040D8A">
        <w:t xml:space="preserve">a </w:t>
      </w:r>
      <w:r>
        <w:t xml:space="preserve">draft Performance of Work Statement (PWS), Notes to the Buyer (NTB), </w:t>
      </w:r>
      <w:r w:rsidR="00040D8A">
        <w:t xml:space="preserve">and </w:t>
      </w:r>
      <w:r>
        <w:t>Independent Government Cost Estimate (IGCE) to IAC program.</w:t>
      </w:r>
    </w:p>
    <w:p w14:paraId="35CA48C1" w14:textId="7CC36454" w:rsidR="00C1361C" w:rsidRDefault="00C1361C" w:rsidP="000E1173">
      <w:pPr>
        <w:pStyle w:val="ListParagraph"/>
        <w:numPr>
          <w:ilvl w:val="0"/>
          <w:numId w:val="2"/>
        </w:numPr>
      </w:pPr>
      <w:r>
        <w:t xml:space="preserve">RA and </w:t>
      </w:r>
      <w:r w:rsidR="00040D8A">
        <w:t xml:space="preserve">the </w:t>
      </w:r>
      <w:r w:rsidR="002303E7">
        <w:t>IAC MAC Contracting Officer work together to refine the requirements package.</w:t>
      </w:r>
    </w:p>
    <w:p w14:paraId="2C55EC28" w14:textId="4971F1CD" w:rsidR="002303E7" w:rsidRDefault="002303E7" w:rsidP="000E1173">
      <w:pPr>
        <w:pStyle w:val="ListParagraph"/>
        <w:numPr>
          <w:ilvl w:val="0"/>
          <w:numId w:val="2"/>
        </w:numPr>
      </w:pPr>
      <w:r>
        <w:t>Fair Opportunity Proposal Request (FOPR) business clearance</w:t>
      </w:r>
      <w:r w:rsidR="00852E55" w:rsidRPr="00852E55">
        <w:t xml:space="preserve"> </w:t>
      </w:r>
      <w:r w:rsidR="00852E55">
        <w:t>is obtained</w:t>
      </w:r>
      <w:r>
        <w:t>.</w:t>
      </w:r>
    </w:p>
    <w:p w14:paraId="77517E6A" w14:textId="1E186BA1" w:rsidR="002303E7" w:rsidRDefault="002303E7" w:rsidP="000E1173">
      <w:pPr>
        <w:pStyle w:val="ListParagraph"/>
        <w:numPr>
          <w:ilvl w:val="0"/>
          <w:numId w:val="2"/>
        </w:numPr>
      </w:pPr>
      <w:r>
        <w:t>FOPR distributed to pre-screen</w:t>
      </w:r>
      <w:r w:rsidR="00982378">
        <w:t>ed</w:t>
      </w:r>
      <w:r>
        <w:t xml:space="preserve"> contractors.</w:t>
      </w:r>
    </w:p>
    <w:p w14:paraId="0C6B9814" w14:textId="12F00A7C" w:rsidR="002303E7" w:rsidRDefault="002303E7" w:rsidP="000E1173">
      <w:pPr>
        <w:pStyle w:val="ListParagraph"/>
        <w:numPr>
          <w:ilvl w:val="0"/>
          <w:numId w:val="2"/>
        </w:numPr>
      </w:pPr>
      <w:r>
        <w:t>Proposal evaluation</w:t>
      </w:r>
      <w:r w:rsidR="00852E55" w:rsidRPr="00852E55">
        <w:t xml:space="preserve"> </w:t>
      </w:r>
      <w:r w:rsidR="00852E55">
        <w:t>is conducted</w:t>
      </w:r>
      <w:r>
        <w:t>.</w:t>
      </w:r>
    </w:p>
    <w:p w14:paraId="16B5FC94" w14:textId="55C909AD" w:rsidR="002303E7" w:rsidRDefault="002303E7" w:rsidP="000E1173">
      <w:pPr>
        <w:pStyle w:val="ListParagraph"/>
        <w:numPr>
          <w:ilvl w:val="0"/>
          <w:numId w:val="2"/>
        </w:numPr>
      </w:pPr>
      <w:r>
        <w:t>Contract clearance</w:t>
      </w:r>
      <w:r w:rsidR="00852E55">
        <w:t xml:space="preserve"> is obtained</w:t>
      </w:r>
      <w:r>
        <w:t>.</w:t>
      </w:r>
    </w:p>
    <w:p w14:paraId="5EA76DEA" w14:textId="7A593FD6" w:rsidR="002303E7" w:rsidRDefault="002303E7" w:rsidP="000E1173">
      <w:pPr>
        <w:pStyle w:val="ListParagraph"/>
        <w:numPr>
          <w:ilvl w:val="0"/>
          <w:numId w:val="2"/>
        </w:numPr>
      </w:pPr>
      <w:r>
        <w:t>Contract award</w:t>
      </w:r>
      <w:r w:rsidR="00852E55">
        <w:t xml:space="preserve"> occurs</w:t>
      </w:r>
      <w:r>
        <w:t>.</w:t>
      </w:r>
    </w:p>
    <w:p w14:paraId="58309408" w14:textId="215C57D0" w:rsidR="002303E7" w:rsidRDefault="002303E7" w:rsidP="002303E7">
      <w:r>
        <w:t xml:space="preserve">After alerting the IAC program about the impending requirement, the RA should provide the program with a draft PWS.  Care should be taken to ensure that the scope and standard of work </w:t>
      </w:r>
      <w:r w:rsidR="005D6F4D">
        <w:t xml:space="preserve">is in keeping with the RA’s expectation.  Similarly, personnel requirements should be carefully considered to ensure that an appropriate level of service and experience can be delivered.  The second part of the package is the NTB.  The third element is the IGCE.  </w:t>
      </w:r>
      <w:r w:rsidR="00852E55">
        <w:t>Templates and guidelines for each of these documents are available on the IAC MAC website (</w:t>
      </w:r>
      <w:r w:rsidR="00852E55" w:rsidRPr="00852E55">
        <w:t>https://dodiac.dtic.mil/resources/#templates</w:t>
      </w:r>
      <w:r w:rsidR="00852E55">
        <w:t xml:space="preserve">).  </w:t>
      </w:r>
      <w:r w:rsidR="005D6F4D">
        <w:t>Once the RA has developed drafts of these three documents, the RA and contracting officer work together to refine the package to create a complete FOPR.</w:t>
      </w:r>
    </w:p>
    <w:p w14:paraId="635A9809" w14:textId="470C325B" w:rsidR="001A041A" w:rsidRDefault="007524EE" w:rsidP="000E1173">
      <w:r>
        <w:t xml:space="preserve">About this time, the RA completes the evaluation plan.  The IAC MAC contracting officer for the effort can assist in completion of the evaluation plan.  With the FOPR in place, it is now time </w:t>
      </w:r>
      <w:r w:rsidR="00040D8A">
        <w:t xml:space="preserve">to </w:t>
      </w:r>
      <w:r>
        <w:t xml:space="preserve">secure business clearance.  </w:t>
      </w:r>
      <w:r w:rsidR="001A041A">
        <w:t>This step occurs within the IAC program management office and represents a comprehensive legal review of the FOPR.</w:t>
      </w:r>
    </w:p>
    <w:p w14:paraId="5AABD191" w14:textId="0EB8D1F0" w:rsidR="000E1173" w:rsidRDefault="00954A14" w:rsidP="000E1173">
      <w:r>
        <w:t>Following this step in the process, the FOPR is distributed to IAC MAC prime contractors who will review the FOPR, perhaps with their teams, and make a bid/no-bid decision.  Those prime contractors/teams that decide to bid will prepare and submit a proposal.</w:t>
      </w:r>
    </w:p>
    <w:p w14:paraId="0C939FA4" w14:textId="40707B70" w:rsidR="000E1173" w:rsidRDefault="00954A14" w:rsidP="000E1173">
      <w:r>
        <w:t>At that time, the RA will use the defined evaluation plan to evaluate the proposals that are received and select the best offer.  Following contract clearance</w:t>
      </w:r>
      <w:r w:rsidR="001A041A">
        <w:rPr>
          <w:rStyle w:val="FootnoteReference"/>
        </w:rPr>
        <w:footnoteReference w:id="1"/>
      </w:r>
      <w:r>
        <w:t>, the contract will be awarded to the winning contractor/team.</w:t>
      </w:r>
    </w:p>
    <w:p w14:paraId="166002A4" w14:textId="4D5C8B40" w:rsidR="009B4068" w:rsidRDefault="005D3A3A" w:rsidP="009B4068">
      <w:r>
        <w:t>Once the contract has been awarded, there are two sets of deliverables.  The first, of course, are deliverables directly associated with the task of interest to the RA.  The second set of deliverables are associated with the IAC MAC vehicle and are traceable to its STI mission.</w:t>
      </w:r>
      <w:r w:rsidR="00D267CC">
        <w:t xml:space="preserve">  These deliverables are summarized in </w:t>
      </w:r>
      <w:r w:rsidR="00D267CC">
        <w:fldChar w:fldCharType="begin"/>
      </w:r>
      <w:r w:rsidR="00D267CC">
        <w:instrText xml:space="preserve"> REF _Ref6761965 \h </w:instrText>
      </w:r>
      <w:r w:rsidR="00D267CC">
        <w:fldChar w:fldCharType="separate"/>
      </w:r>
      <w:r w:rsidR="00852E55">
        <w:t xml:space="preserve">Table </w:t>
      </w:r>
      <w:r w:rsidR="00852E55">
        <w:rPr>
          <w:noProof/>
        </w:rPr>
        <w:t>2</w:t>
      </w:r>
      <w:r w:rsidR="00D267CC">
        <w:fldChar w:fldCharType="end"/>
      </w:r>
      <w:r w:rsidR="00D267CC">
        <w:t>.</w:t>
      </w:r>
    </w:p>
    <w:p w14:paraId="7C51F98F" w14:textId="704A624A" w:rsidR="00D267CC" w:rsidRDefault="00D267CC" w:rsidP="00D267CC">
      <w:pPr>
        <w:pStyle w:val="Caption"/>
        <w:keepNext/>
        <w:jc w:val="center"/>
      </w:pPr>
      <w:bookmarkStart w:id="2" w:name="_Ref6761965"/>
      <w:r>
        <w:lastRenderedPageBreak/>
        <w:t xml:space="preserve">Table </w:t>
      </w:r>
      <w:r w:rsidR="007F2A35">
        <w:rPr>
          <w:noProof/>
        </w:rPr>
        <w:fldChar w:fldCharType="begin"/>
      </w:r>
      <w:r w:rsidR="007F2A35">
        <w:rPr>
          <w:noProof/>
        </w:rPr>
        <w:instrText xml:space="preserve"> SEQ Table \* ARABIC </w:instrText>
      </w:r>
      <w:r w:rsidR="007F2A35">
        <w:rPr>
          <w:noProof/>
        </w:rPr>
        <w:fldChar w:fldCharType="separate"/>
      </w:r>
      <w:r w:rsidR="00852E55">
        <w:rPr>
          <w:noProof/>
        </w:rPr>
        <w:t>2</w:t>
      </w:r>
      <w:r w:rsidR="007F2A35">
        <w:rPr>
          <w:noProof/>
        </w:rPr>
        <w:fldChar w:fldCharType="end"/>
      </w:r>
      <w:bookmarkEnd w:id="2"/>
      <w:r>
        <w:t>:  Typical IAC MAC Task Order and Vehicle Deliverables</w:t>
      </w:r>
    </w:p>
    <w:tbl>
      <w:tblPr>
        <w:tblStyle w:val="LetterheadTable"/>
        <w:tblW w:w="0" w:type="auto"/>
        <w:tblLook w:val="04A0" w:firstRow="1" w:lastRow="0" w:firstColumn="1" w:lastColumn="0" w:noHBand="0" w:noVBand="1"/>
      </w:tblPr>
      <w:tblGrid>
        <w:gridCol w:w="1944"/>
        <w:gridCol w:w="2740"/>
        <w:gridCol w:w="2075"/>
        <w:gridCol w:w="3321"/>
      </w:tblGrid>
      <w:tr w:rsidR="00C561B7" w14:paraId="115A9C6B" w14:textId="77777777" w:rsidTr="00D267C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6FDFD4B0" w14:textId="77777777" w:rsidR="00C561B7" w:rsidRDefault="00C561B7" w:rsidP="00D267CC">
            <w:pPr>
              <w:keepNext/>
              <w:jc w:val="center"/>
            </w:pPr>
            <w:r>
              <w:t>Task Order Deliverables</w:t>
            </w:r>
          </w:p>
        </w:tc>
        <w:tc>
          <w:tcPr>
            <w:tcW w:w="0" w:type="auto"/>
            <w:gridSpan w:val="2"/>
            <w:vAlign w:val="center"/>
          </w:tcPr>
          <w:p w14:paraId="78EF59F2" w14:textId="77777777" w:rsidR="00C561B7" w:rsidRDefault="00C561B7" w:rsidP="00D267CC">
            <w:pPr>
              <w:keepNext/>
              <w:jc w:val="center"/>
              <w:cnfStyle w:val="100000000000" w:firstRow="1" w:lastRow="0" w:firstColumn="0" w:lastColumn="0" w:oddVBand="0" w:evenVBand="0" w:oddHBand="0" w:evenHBand="0" w:firstRowFirstColumn="0" w:firstRowLastColumn="0" w:lastRowFirstColumn="0" w:lastRowLastColumn="0"/>
            </w:pPr>
            <w:r>
              <w:t>Vehicle Deliverable</w:t>
            </w:r>
          </w:p>
        </w:tc>
      </w:tr>
      <w:tr w:rsidR="00C561B7" w14:paraId="7A6577A2" w14:textId="77777777" w:rsidTr="00D267CC">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2F5FF4" w14:textId="77777777" w:rsidR="00C561B7" w:rsidRDefault="006756BF" w:rsidP="006756BF">
            <w:r w:rsidRPr="006756BF">
              <w:t>CDRL A007:  STI Repository &amp; Non-STI Deliverables</w:t>
            </w:r>
          </w:p>
        </w:tc>
        <w:tc>
          <w:tcPr>
            <w:tcW w:w="0" w:type="auto"/>
            <w:vAlign w:val="center"/>
          </w:tcPr>
          <w:p w14:paraId="2080FE7E" w14:textId="77777777" w:rsidR="006756BF" w:rsidRDefault="006756BF" w:rsidP="006756BF">
            <w:pPr>
              <w:pStyle w:val="ListParagraph"/>
              <w:numPr>
                <w:ilvl w:val="0"/>
                <w:numId w:val="3"/>
              </w:numPr>
              <w:ind w:left="450" w:hanging="270"/>
              <w:cnfStyle w:val="000000000000" w:firstRow="0" w:lastRow="0" w:firstColumn="0" w:lastColumn="0" w:oddVBand="0" w:evenVBand="0" w:oddHBand="0" w:evenHBand="0" w:firstRowFirstColumn="0" w:firstRowLastColumn="0" w:lastRowFirstColumn="0" w:lastRowLastColumn="0"/>
            </w:pPr>
            <w:r>
              <w:t xml:space="preserve">Requires the contractor to deliver data items, both STI and non-STI to the </w:t>
            </w:r>
            <w:r w:rsidR="00D267CC">
              <w:t>RA</w:t>
            </w:r>
            <w:r>
              <w:t xml:space="preserve"> (and STI only to DTIC, via the IAC BCO)</w:t>
            </w:r>
          </w:p>
          <w:p w14:paraId="0FAFDC00" w14:textId="77777777" w:rsidR="006756BF" w:rsidRDefault="006756BF" w:rsidP="006756BF">
            <w:pPr>
              <w:pStyle w:val="ListParagraph"/>
              <w:numPr>
                <w:ilvl w:val="0"/>
                <w:numId w:val="3"/>
              </w:numPr>
              <w:ind w:left="450" w:hanging="270"/>
              <w:cnfStyle w:val="000000000000" w:firstRow="0" w:lastRow="0" w:firstColumn="0" w:lastColumn="0" w:oddVBand="0" w:evenVBand="0" w:oddHBand="0" w:evenHBand="0" w:firstRowFirstColumn="0" w:firstRowLastColumn="0" w:lastRowFirstColumn="0" w:lastRowLastColumn="0"/>
            </w:pPr>
            <w:r>
              <w:t>TO Leads will develop the material</w:t>
            </w:r>
          </w:p>
          <w:p w14:paraId="6897B6A0" w14:textId="77777777" w:rsidR="00C561B7" w:rsidRDefault="00D267CC" w:rsidP="006756BF">
            <w:pPr>
              <w:pStyle w:val="ListParagraph"/>
              <w:numPr>
                <w:ilvl w:val="0"/>
                <w:numId w:val="3"/>
              </w:numPr>
              <w:ind w:left="450" w:hanging="270"/>
              <w:cnfStyle w:val="000000000000" w:firstRow="0" w:lastRow="0" w:firstColumn="0" w:lastColumn="0" w:oddVBand="0" w:evenVBand="0" w:oddHBand="0" w:evenHBand="0" w:firstRowFirstColumn="0" w:firstRowLastColumn="0" w:lastRowFirstColumn="0" w:lastRowLastColumn="0"/>
            </w:pPr>
            <w:r>
              <w:t>Prime</w:t>
            </w:r>
            <w:r w:rsidR="006756BF">
              <w:t xml:space="preserve"> will QA and submit the material</w:t>
            </w:r>
          </w:p>
        </w:tc>
        <w:tc>
          <w:tcPr>
            <w:tcW w:w="0" w:type="auto"/>
            <w:vAlign w:val="center"/>
          </w:tcPr>
          <w:p w14:paraId="1F461508" w14:textId="77777777" w:rsidR="00C561B7" w:rsidRPr="006756BF" w:rsidRDefault="006756BF" w:rsidP="006756BF">
            <w:pPr>
              <w:cnfStyle w:val="000000000000" w:firstRow="0" w:lastRow="0" w:firstColumn="0" w:lastColumn="0" w:oddVBand="0" w:evenVBand="0" w:oddHBand="0" w:evenHBand="0" w:firstRowFirstColumn="0" w:firstRowLastColumn="0" w:lastRowFirstColumn="0" w:lastRowLastColumn="0"/>
              <w:rPr>
                <w:b/>
              </w:rPr>
            </w:pPr>
            <w:r w:rsidRPr="006756BF">
              <w:rPr>
                <w:b/>
              </w:rPr>
              <w:t>CDRL A001:  Monthly Contract Cost &amp; STI Assessment Tracking Report</w:t>
            </w:r>
          </w:p>
        </w:tc>
        <w:tc>
          <w:tcPr>
            <w:tcW w:w="0" w:type="auto"/>
            <w:vAlign w:val="center"/>
          </w:tcPr>
          <w:p w14:paraId="5EA1A5E0" w14:textId="77777777" w:rsidR="00C561B7" w:rsidRDefault="006756BF" w:rsidP="00D267CC">
            <w:pPr>
              <w:pStyle w:val="ListParagraph"/>
              <w:numPr>
                <w:ilvl w:val="0"/>
                <w:numId w:val="4"/>
              </w:numPr>
              <w:ind w:left="360" w:hanging="270"/>
              <w:cnfStyle w:val="000000000000" w:firstRow="0" w:lastRow="0" w:firstColumn="0" w:lastColumn="0" w:oddVBand="0" w:evenVBand="0" w:oddHBand="0" w:evenHBand="0" w:firstRowFirstColumn="0" w:firstRowLastColumn="0" w:lastRowFirstColumn="0" w:lastRowLastColumn="0"/>
            </w:pPr>
            <w:r>
              <w:t xml:space="preserve">Largely a bookkeeping CDRL that will be submitted </w:t>
            </w:r>
            <w:r w:rsidR="00D267CC">
              <w:t>Prime</w:t>
            </w:r>
            <w:r>
              <w:t>, Inc.</w:t>
            </w:r>
          </w:p>
        </w:tc>
      </w:tr>
      <w:tr w:rsidR="00C561B7" w14:paraId="7A87B504" w14:textId="77777777" w:rsidTr="00D267CC">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21AB8C52" w14:textId="77777777" w:rsidR="00C561B7" w:rsidRDefault="006756BF" w:rsidP="006756BF">
            <w:r w:rsidRPr="006756BF">
              <w:t>CDRL A009:  Program Management Plan</w:t>
            </w:r>
          </w:p>
        </w:tc>
        <w:tc>
          <w:tcPr>
            <w:tcW w:w="0" w:type="auto"/>
            <w:vAlign w:val="center"/>
          </w:tcPr>
          <w:p w14:paraId="4D32F30A" w14:textId="77777777" w:rsidR="006756BF" w:rsidRDefault="006756BF" w:rsidP="006756BF">
            <w:pPr>
              <w:pStyle w:val="ListParagraph"/>
              <w:numPr>
                <w:ilvl w:val="0"/>
                <w:numId w:val="3"/>
              </w:numPr>
              <w:ind w:left="450" w:hanging="270"/>
              <w:cnfStyle w:val="000000000000" w:firstRow="0" w:lastRow="0" w:firstColumn="0" w:lastColumn="0" w:oddVBand="0" w:evenVBand="0" w:oddHBand="0" w:evenHBand="0" w:firstRowFirstColumn="0" w:firstRowLastColumn="0" w:lastRowFirstColumn="0" w:lastRowLastColumn="0"/>
            </w:pPr>
            <w:r>
              <w:t>TO Leads will develop the material</w:t>
            </w:r>
          </w:p>
          <w:p w14:paraId="36A2AAE3" w14:textId="77777777" w:rsidR="00C561B7" w:rsidRDefault="00D267CC" w:rsidP="006756BF">
            <w:pPr>
              <w:pStyle w:val="ListParagraph"/>
              <w:numPr>
                <w:ilvl w:val="0"/>
                <w:numId w:val="3"/>
              </w:numPr>
              <w:ind w:left="450" w:hanging="270"/>
              <w:cnfStyle w:val="000000000000" w:firstRow="0" w:lastRow="0" w:firstColumn="0" w:lastColumn="0" w:oddVBand="0" w:evenVBand="0" w:oddHBand="0" w:evenHBand="0" w:firstRowFirstColumn="0" w:firstRowLastColumn="0" w:lastRowFirstColumn="0" w:lastRowLastColumn="0"/>
            </w:pPr>
            <w:r>
              <w:t>Prime</w:t>
            </w:r>
            <w:r w:rsidR="006756BF">
              <w:t xml:space="preserve"> will QA and submit the material</w:t>
            </w:r>
          </w:p>
        </w:tc>
        <w:tc>
          <w:tcPr>
            <w:tcW w:w="0" w:type="auto"/>
            <w:vAlign w:val="center"/>
          </w:tcPr>
          <w:p w14:paraId="1982A1A8" w14:textId="77777777" w:rsidR="00C561B7" w:rsidRPr="006756BF" w:rsidRDefault="006756BF" w:rsidP="006756BF">
            <w:pPr>
              <w:cnfStyle w:val="000000000000" w:firstRow="0" w:lastRow="0" w:firstColumn="0" w:lastColumn="0" w:oddVBand="0" w:evenVBand="0" w:oddHBand="0" w:evenHBand="0" w:firstRowFirstColumn="0" w:firstRowLastColumn="0" w:lastRowFirstColumn="0" w:lastRowLastColumn="0"/>
              <w:rPr>
                <w:b/>
              </w:rPr>
            </w:pPr>
            <w:r w:rsidRPr="006756BF">
              <w:rPr>
                <w:b/>
              </w:rPr>
              <w:t>CDRL A002:  Redacted IAC MAC and Redacted TOs</w:t>
            </w:r>
          </w:p>
        </w:tc>
        <w:tc>
          <w:tcPr>
            <w:tcW w:w="0" w:type="auto"/>
            <w:vAlign w:val="center"/>
          </w:tcPr>
          <w:p w14:paraId="43805FAE" w14:textId="44E0C41B" w:rsidR="004C3E8E" w:rsidRDefault="004C3E8E" w:rsidP="004C3E8E">
            <w:pPr>
              <w:pStyle w:val="ListParagraph"/>
              <w:numPr>
                <w:ilvl w:val="0"/>
                <w:numId w:val="4"/>
              </w:numPr>
              <w:ind w:left="360" w:hanging="270"/>
              <w:cnfStyle w:val="000000000000" w:firstRow="0" w:lastRow="0" w:firstColumn="0" w:lastColumn="0" w:oddVBand="0" w:evenVBand="0" w:oddHBand="0" w:evenHBand="0" w:firstRowFirstColumn="0" w:firstRowLastColumn="0" w:lastRowFirstColumn="0" w:lastRowLastColumn="0"/>
            </w:pPr>
            <w:r>
              <w:t xml:space="preserve">To limit Freedom of Information requests, </w:t>
            </w:r>
            <w:r w:rsidR="00982378">
              <w:t>the prime contractor</w:t>
            </w:r>
            <w:r>
              <w:t xml:space="preserve"> must provide a redacted version of each task order award that is suitable for public release</w:t>
            </w:r>
          </w:p>
          <w:p w14:paraId="2EE37226" w14:textId="1ED3E348" w:rsidR="004C3E8E" w:rsidRDefault="004C3E8E" w:rsidP="004C3E8E">
            <w:pPr>
              <w:pStyle w:val="ListParagraph"/>
              <w:numPr>
                <w:ilvl w:val="0"/>
                <w:numId w:val="4"/>
              </w:numPr>
              <w:ind w:left="360" w:hanging="270"/>
              <w:cnfStyle w:val="000000000000" w:firstRow="0" w:lastRow="0" w:firstColumn="0" w:lastColumn="0" w:oddVBand="0" w:evenVBand="0" w:oddHBand="0" w:evenHBand="0" w:firstRowFirstColumn="0" w:firstRowLastColumn="0" w:lastRowFirstColumn="0" w:lastRowLastColumn="0"/>
            </w:pPr>
            <w:r>
              <w:t>The lead firm for each TO will be responsible for developing the redacted version</w:t>
            </w:r>
          </w:p>
          <w:p w14:paraId="669EF0C5" w14:textId="77777777" w:rsidR="00C561B7" w:rsidRDefault="00D267CC" w:rsidP="004C3E8E">
            <w:pPr>
              <w:pStyle w:val="ListParagraph"/>
              <w:numPr>
                <w:ilvl w:val="0"/>
                <w:numId w:val="4"/>
              </w:numPr>
              <w:ind w:left="360" w:hanging="270"/>
              <w:cnfStyle w:val="000000000000" w:firstRow="0" w:lastRow="0" w:firstColumn="0" w:lastColumn="0" w:oddVBand="0" w:evenVBand="0" w:oddHBand="0" w:evenHBand="0" w:firstRowFirstColumn="0" w:firstRowLastColumn="0" w:lastRowFirstColumn="0" w:lastRowLastColumn="0"/>
            </w:pPr>
            <w:r>
              <w:t>Prime</w:t>
            </w:r>
            <w:r w:rsidR="004C3E8E">
              <w:t xml:space="preserve"> will submit</w:t>
            </w:r>
          </w:p>
        </w:tc>
      </w:tr>
      <w:tr w:rsidR="00C561B7" w14:paraId="179E5358" w14:textId="77777777" w:rsidTr="00D267CC">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385988" w14:textId="77777777" w:rsidR="00C561B7" w:rsidRDefault="006756BF" w:rsidP="006756BF">
            <w:r w:rsidRPr="006756BF">
              <w:t>CDRL A010:  Monthly Status Report</w:t>
            </w:r>
          </w:p>
        </w:tc>
        <w:tc>
          <w:tcPr>
            <w:tcW w:w="0" w:type="auto"/>
            <w:vAlign w:val="center"/>
          </w:tcPr>
          <w:p w14:paraId="63CF92A4" w14:textId="77777777" w:rsidR="006756BF" w:rsidRDefault="006756BF" w:rsidP="006756BF">
            <w:pPr>
              <w:pStyle w:val="ListParagraph"/>
              <w:numPr>
                <w:ilvl w:val="0"/>
                <w:numId w:val="3"/>
              </w:numPr>
              <w:ind w:left="450" w:hanging="270"/>
              <w:cnfStyle w:val="000000000000" w:firstRow="0" w:lastRow="0" w:firstColumn="0" w:lastColumn="0" w:oddVBand="0" w:evenVBand="0" w:oddHBand="0" w:evenHBand="0" w:firstRowFirstColumn="0" w:firstRowLastColumn="0" w:lastRowFirstColumn="0" w:lastRowLastColumn="0"/>
            </w:pPr>
            <w:r>
              <w:t>TO Leads will develop the material</w:t>
            </w:r>
          </w:p>
          <w:p w14:paraId="2D398E6C" w14:textId="77777777" w:rsidR="00C561B7" w:rsidRDefault="00D267CC" w:rsidP="006756BF">
            <w:pPr>
              <w:pStyle w:val="ListParagraph"/>
              <w:numPr>
                <w:ilvl w:val="0"/>
                <w:numId w:val="3"/>
              </w:numPr>
              <w:ind w:left="450" w:hanging="270"/>
              <w:cnfStyle w:val="000000000000" w:firstRow="0" w:lastRow="0" w:firstColumn="0" w:lastColumn="0" w:oddVBand="0" w:evenVBand="0" w:oddHBand="0" w:evenHBand="0" w:firstRowFirstColumn="0" w:firstRowLastColumn="0" w:lastRowFirstColumn="0" w:lastRowLastColumn="0"/>
            </w:pPr>
            <w:r>
              <w:t>Prime</w:t>
            </w:r>
            <w:r w:rsidR="006756BF">
              <w:t xml:space="preserve"> will QA and submit the material</w:t>
            </w:r>
          </w:p>
        </w:tc>
        <w:tc>
          <w:tcPr>
            <w:tcW w:w="0" w:type="auto"/>
            <w:vAlign w:val="center"/>
          </w:tcPr>
          <w:p w14:paraId="14198DD8" w14:textId="77777777" w:rsidR="00C561B7" w:rsidRPr="006756BF" w:rsidRDefault="006756BF" w:rsidP="006756BF">
            <w:pPr>
              <w:cnfStyle w:val="000000000000" w:firstRow="0" w:lastRow="0" w:firstColumn="0" w:lastColumn="0" w:oddVBand="0" w:evenVBand="0" w:oddHBand="0" w:evenHBand="0" w:firstRowFirstColumn="0" w:firstRowLastColumn="0" w:lastRowFirstColumn="0" w:lastRowLastColumn="0"/>
              <w:rPr>
                <w:b/>
              </w:rPr>
            </w:pPr>
            <w:r w:rsidRPr="006756BF">
              <w:rPr>
                <w:b/>
              </w:rPr>
              <w:t>CDRL A006: Task Order (TO) Success Stories</w:t>
            </w:r>
          </w:p>
        </w:tc>
        <w:tc>
          <w:tcPr>
            <w:tcW w:w="0" w:type="auto"/>
            <w:vAlign w:val="center"/>
          </w:tcPr>
          <w:p w14:paraId="33634B52" w14:textId="77777777" w:rsidR="004C3E8E" w:rsidRDefault="004C3E8E" w:rsidP="004C3E8E">
            <w:pPr>
              <w:pStyle w:val="ListParagraph"/>
              <w:numPr>
                <w:ilvl w:val="0"/>
                <w:numId w:val="4"/>
              </w:numPr>
              <w:ind w:left="360" w:hanging="270"/>
              <w:cnfStyle w:val="000000000000" w:firstRow="0" w:lastRow="0" w:firstColumn="0" w:lastColumn="0" w:oddVBand="0" w:evenVBand="0" w:oddHBand="0" w:evenHBand="0" w:firstRowFirstColumn="0" w:firstRowLastColumn="0" w:lastRowFirstColumn="0" w:lastRowLastColumn="0"/>
            </w:pPr>
            <w:r>
              <w:t>Submitted Quarterly</w:t>
            </w:r>
          </w:p>
          <w:p w14:paraId="034D56F1" w14:textId="41C30604" w:rsidR="004C3E8E" w:rsidRDefault="004C3E8E" w:rsidP="004C3E8E">
            <w:pPr>
              <w:pStyle w:val="ListParagraph"/>
              <w:numPr>
                <w:ilvl w:val="0"/>
                <w:numId w:val="4"/>
              </w:numPr>
              <w:ind w:left="360" w:hanging="270"/>
              <w:cnfStyle w:val="000000000000" w:firstRow="0" w:lastRow="0" w:firstColumn="0" w:lastColumn="0" w:oddVBand="0" w:evenVBand="0" w:oddHBand="0" w:evenHBand="0" w:firstRowFirstColumn="0" w:firstRowLastColumn="0" w:lastRowFirstColumn="0" w:lastRowLastColumn="0"/>
            </w:pPr>
            <w:r>
              <w:t>Each TO lead will submit a list of significant accomplishments for each TO</w:t>
            </w:r>
          </w:p>
          <w:p w14:paraId="490D2056" w14:textId="77777777" w:rsidR="00C561B7" w:rsidRDefault="00D267CC" w:rsidP="004C3E8E">
            <w:pPr>
              <w:pStyle w:val="ListParagraph"/>
              <w:numPr>
                <w:ilvl w:val="0"/>
                <w:numId w:val="4"/>
              </w:numPr>
              <w:ind w:left="360" w:hanging="270"/>
              <w:cnfStyle w:val="000000000000" w:firstRow="0" w:lastRow="0" w:firstColumn="0" w:lastColumn="0" w:oddVBand="0" w:evenVBand="0" w:oddHBand="0" w:evenHBand="0" w:firstRowFirstColumn="0" w:firstRowLastColumn="0" w:lastRowFirstColumn="0" w:lastRowLastColumn="0"/>
            </w:pPr>
            <w:r>
              <w:t>Prime</w:t>
            </w:r>
            <w:r w:rsidR="004C3E8E">
              <w:t xml:space="preserve"> will compile and submit</w:t>
            </w:r>
          </w:p>
        </w:tc>
      </w:tr>
      <w:tr w:rsidR="00C561B7" w14:paraId="0C13EA8C" w14:textId="77777777" w:rsidTr="00D267CC">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2FF0281E" w14:textId="77777777" w:rsidR="00C561B7" w:rsidRDefault="006756BF" w:rsidP="006756BF">
            <w:r w:rsidRPr="006756BF">
              <w:t>CDRL A011:  Final Technical Report</w:t>
            </w:r>
          </w:p>
        </w:tc>
        <w:tc>
          <w:tcPr>
            <w:tcW w:w="0" w:type="auto"/>
            <w:vAlign w:val="center"/>
          </w:tcPr>
          <w:p w14:paraId="2B3FD5E0" w14:textId="77777777" w:rsidR="006756BF" w:rsidRDefault="006756BF" w:rsidP="006756BF">
            <w:pPr>
              <w:pStyle w:val="ListParagraph"/>
              <w:numPr>
                <w:ilvl w:val="0"/>
                <w:numId w:val="3"/>
              </w:numPr>
              <w:ind w:left="450" w:hanging="270"/>
              <w:cnfStyle w:val="000000000000" w:firstRow="0" w:lastRow="0" w:firstColumn="0" w:lastColumn="0" w:oddVBand="0" w:evenVBand="0" w:oddHBand="0" w:evenHBand="0" w:firstRowFirstColumn="0" w:firstRowLastColumn="0" w:lastRowFirstColumn="0" w:lastRowLastColumn="0"/>
            </w:pPr>
            <w:r>
              <w:t>TO Leads will develop the material</w:t>
            </w:r>
          </w:p>
          <w:p w14:paraId="4AFCB715" w14:textId="77777777" w:rsidR="00C561B7" w:rsidRDefault="00D267CC" w:rsidP="006756BF">
            <w:pPr>
              <w:pStyle w:val="ListParagraph"/>
              <w:numPr>
                <w:ilvl w:val="0"/>
                <w:numId w:val="3"/>
              </w:numPr>
              <w:ind w:left="450" w:hanging="270"/>
              <w:cnfStyle w:val="000000000000" w:firstRow="0" w:lastRow="0" w:firstColumn="0" w:lastColumn="0" w:oddVBand="0" w:evenVBand="0" w:oddHBand="0" w:evenHBand="0" w:firstRowFirstColumn="0" w:firstRowLastColumn="0" w:lastRowFirstColumn="0" w:lastRowLastColumn="0"/>
            </w:pPr>
            <w:r>
              <w:t>Prime</w:t>
            </w:r>
            <w:r w:rsidR="006756BF">
              <w:t xml:space="preserve"> will QA and submit the material</w:t>
            </w:r>
          </w:p>
        </w:tc>
        <w:tc>
          <w:tcPr>
            <w:tcW w:w="0" w:type="auto"/>
            <w:vAlign w:val="center"/>
          </w:tcPr>
          <w:p w14:paraId="5C08901F" w14:textId="77777777" w:rsidR="00C561B7" w:rsidRPr="006756BF" w:rsidRDefault="006756BF" w:rsidP="006756BF">
            <w:pPr>
              <w:cnfStyle w:val="000000000000" w:firstRow="0" w:lastRow="0" w:firstColumn="0" w:lastColumn="0" w:oddVBand="0" w:evenVBand="0" w:oddHBand="0" w:evenHBand="0" w:firstRowFirstColumn="0" w:firstRowLastColumn="0" w:lastRowFirstColumn="0" w:lastRowLastColumn="0"/>
              <w:rPr>
                <w:b/>
              </w:rPr>
            </w:pPr>
            <w:r w:rsidRPr="006756BF">
              <w:rPr>
                <w:b/>
              </w:rPr>
              <w:t>CDRL A008:  Task Order Post-Award Orientation Slides</w:t>
            </w:r>
          </w:p>
        </w:tc>
        <w:tc>
          <w:tcPr>
            <w:tcW w:w="0" w:type="auto"/>
            <w:vAlign w:val="center"/>
          </w:tcPr>
          <w:p w14:paraId="4F8DD9E4" w14:textId="77777777" w:rsidR="003D6C97" w:rsidRDefault="003D6C97" w:rsidP="003D6C97">
            <w:pPr>
              <w:pStyle w:val="ListParagraph"/>
              <w:numPr>
                <w:ilvl w:val="0"/>
                <w:numId w:val="4"/>
              </w:numPr>
              <w:ind w:left="360" w:hanging="270"/>
              <w:cnfStyle w:val="000000000000" w:firstRow="0" w:lastRow="0" w:firstColumn="0" w:lastColumn="0" w:oddVBand="0" w:evenVBand="0" w:oddHBand="0" w:evenHBand="0" w:firstRowFirstColumn="0" w:firstRowLastColumn="0" w:lastRowFirstColumn="0" w:lastRowLastColumn="0"/>
            </w:pPr>
            <w:r>
              <w:t>TO Leads will develop the material</w:t>
            </w:r>
          </w:p>
          <w:p w14:paraId="0FECD77F" w14:textId="77777777" w:rsidR="00C561B7" w:rsidRDefault="00D267CC" w:rsidP="003D6C97">
            <w:pPr>
              <w:pStyle w:val="ListParagraph"/>
              <w:numPr>
                <w:ilvl w:val="0"/>
                <w:numId w:val="4"/>
              </w:numPr>
              <w:ind w:left="360" w:hanging="270"/>
              <w:cnfStyle w:val="000000000000" w:firstRow="0" w:lastRow="0" w:firstColumn="0" w:lastColumn="0" w:oddVBand="0" w:evenVBand="0" w:oddHBand="0" w:evenHBand="0" w:firstRowFirstColumn="0" w:firstRowLastColumn="0" w:lastRowFirstColumn="0" w:lastRowLastColumn="0"/>
            </w:pPr>
            <w:r>
              <w:t>Prime</w:t>
            </w:r>
            <w:r w:rsidR="003D6C97">
              <w:t xml:space="preserve"> will QA and submit the material</w:t>
            </w:r>
          </w:p>
        </w:tc>
      </w:tr>
      <w:tr w:rsidR="00C561B7" w14:paraId="7A8F86DD" w14:textId="77777777" w:rsidTr="00D267CC">
        <w:trPr>
          <w:cantSplit/>
        </w:trPr>
        <w:tc>
          <w:tcPr>
            <w:cnfStyle w:val="001000000000" w:firstRow="0" w:lastRow="0" w:firstColumn="1" w:lastColumn="0" w:oddVBand="0" w:evenVBand="0" w:oddHBand="0" w:evenHBand="0" w:firstRowFirstColumn="0" w:firstRowLastColumn="0" w:lastRowFirstColumn="0" w:lastRowLastColumn="0"/>
            <w:tcW w:w="0" w:type="auto"/>
          </w:tcPr>
          <w:p w14:paraId="7319B44E" w14:textId="77777777" w:rsidR="00C561B7" w:rsidRDefault="00C561B7" w:rsidP="009B4068"/>
        </w:tc>
        <w:tc>
          <w:tcPr>
            <w:tcW w:w="0" w:type="auto"/>
          </w:tcPr>
          <w:p w14:paraId="3C26FE0F" w14:textId="77777777" w:rsidR="00C561B7" w:rsidRDefault="00C561B7" w:rsidP="006756BF">
            <w:pPr>
              <w:ind w:left="0"/>
              <w:cnfStyle w:val="000000000000" w:firstRow="0" w:lastRow="0" w:firstColumn="0" w:lastColumn="0" w:oddVBand="0" w:evenVBand="0" w:oddHBand="0" w:evenHBand="0" w:firstRowFirstColumn="0" w:firstRowLastColumn="0" w:lastRowFirstColumn="0" w:lastRowLastColumn="0"/>
            </w:pPr>
          </w:p>
        </w:tc>
        <w:tc>
          <w:tcPr>
            <w:tcW w:w="0" w:type="auto"/>
          </w:tcPr>
          <w:p w14:paraId="3EED6AAD" w14:textId="77777777" w:rsidR="00C561B7" w:rsidRPr="006756BF" w:rsidRDefault="006756BF" w:rsidP="009B4068">
            <w:pPr>
              <w:cnfStyle w:val="000000000000" w:firstRow="0" w:lastRow="0" w:firstColumn="0" w:lastColumn="0" w:oddVBand="0" w:evenVBand="0" w:oddHBand="0" w:evenHBand="0" w:firstRowFirstColumn="0" w:firstRowLastColumn="0" w:lastRowFirstColumn="0" w:lastRowLastColumn="0"/>
              <w:rPr>
                <w:b/>
              </w:rPr>
            </w:pPr>
            <w:r w:rsidRPr="006756BF">
              <w:rPr>
                <w:b/>
              </w:rPr>
              <w:t>CDRL A011:  TO-Specific Annual STI Gap Analysis</w:t>
            </w:r>
          </w:p>
        </w:tc>
        <w:tc>
          <w:tcPr>
            <w:tcW w:w="0" w:type="auto"/>
          </w:tcPr>
          <w:p w14:paraId="352257E6" w14:textId="77777777" w:rsidR="003D6C97" w:rsidRDefault="003D6C97" w:rsidP="003D6C97">
            <w:pPr>
              <w:pStyle w:val="ListParagraph"/>
              <w:numPr>
                <w:ilvl w:val="0"/>
                <w:numId w:val="4"/>
              </w:numPr>
              <w:ind w:left="360" w:hanging="270"/>
              <w:cnfStyle w:val="000000000000" w:firstRow="0" w:lastRow="0" w:firstColumn="0" w:lastColumn="0" w:oddVBand="0" w:evenVBand="0" w:oddHBand="0" w:evenHBand="0" w:firstRowFirstColumn="0" w:firstRowLastColumn="0" w:lastRowFirstColumn="0" w:lastRowLastColumn="0"/>
            </w:pPr>
            <w:r>
              <w:t>TO Leads will develop the material</w:t>
            </w:r>
          </w:p>
          <w:p w14:paraId="0192DF5C" w14:textId="77777777" w:rsidR="00C561B7" w:rsidRDefault="00D267CC" w:rsidP="003D6C97">
            <w:pPr>
              <w:pStyle w:val="ListParagraph"/>
              <w:numPr>
                <w:ilvl w:val="0"/>
                <w:numId w:val="4"/>
              </w:numPr>
              <w:ind w:left="360" w:hanging="270"/>
              <w:cnfStyle w:val="000000000000" w:firstRow="0" w:lastRow="0" w:firstColumn="0" w:lastColumn="0" w:oddVBand="0" w:evenVBand="0" w:oddHBand="0" w:evenHBand="0" w:firstRowFirstColumn="0" w:firstRowLastColumn="0" w:lastRowFirstColumn="0" w:lastRowLastColumn="0"/>
            </w:pPr>
            <w:r>
              <w:t>Prime</w:t>
            </w:r>
            <w:r w:rsidR="003D6C97">
              <w:t xml:space="preserve"> will QA and submit the material</w:t>
            </w:r>
          </w:p>
        </w:tc>
      </w:tr>
      <w:tr w:rsidR="00982378" w14:paraId="21BE545C" w14:textId="77777777" w:rsidTr="00D267CC">
        <w:trPr>
          <w:cantSplit/>
        </w:trPr>
        <w:tc>
          <w:tcPr>
            <w:cnfStyle w:val="001000000000" w:firstRow="0" w:lastRow="0" w:firstColumn="1" w:lastColumn="0" w:oddVBand="0" w:evenVBand="0" w:oddHBand="0" w:evenHBand="0" w:firstRowFirstColumn="0" w:firstRowLastColumn="0" w:lastRowFirstColumn="0" w:lastRowLastColumn="0"/>
            <w:tcW w:w="0" w:type="auto"/>
          </w:tcPr>
          <w:p w14:paraId="6F35C033" w14:textId="77777777" w:rsidR="00C561B7" w:rsidRDefault="00C561B7" w:rsidP="009B4068"/>
        </w:tc>
        <w:tc>
          <w:tcPr>
            <w:tcW w:w="0" w:type="auto"/>
          </w:tcPr>
          <w:p w14:paraId="7C1B49E7" w14:textId="77777777" w:rsidR="00C561B7" w:rsidRDefault="00C561B7" w:rsidP="009B4068">
            <w:pPr>
              <w:cnfStyle w:val="000000000000" w:firstRow="0" w:lastRow="0" w:firstColumn="0" w:lastColumn="0" w:oddVBand="0" w:evenVBand="0" w:oddHBand="0" w:evenHBand="0" w:firstRowFirstColumn="0" w:firstRowLastColumn="0" w:lastRowFirstColumn="0" w:lastRowLastColumn="0"/>
            </w:pPr>
          </w:p>
        </w:tc>
        <w:tc>
          <w:tcPr>
            <w:tcW w:w="0" w:type="auto"/>
          </w:tcPr>
          <w:p w14:paraId="3DEF19FB" w14:textId="77777777" w:rsidR="00C561B7" w:rsidRPr="006756BF" w:rsidRDefault="006756BF" w:rsidP="009B4068">
            <w:pPr>
              <w:cnfStyle w:val="000000000000" w:firstRow="0" w:lastRow="0" w:firstColumn="0" w:lastColumn="0" w:oddVBand="0" w:evenVBand="0" w:oddHBand="0" w:evenHBand="0" w:firstRowFirstColumn="0" w:firstRowLastColumn="0" w:lastRowFirstColumn="0" w:lastRowLastColumn="0"/>
              <w:rPr>
                <w:b/>
              </w:rPr>
            </w:pPr>
            <w:r w:rsidRPr="006756BF">
              <w:rPr>
                <w:b/>
              </w:rPr>
              <w:t>CDRL A013:  Contractor Manpower Reporting</w:t>
            </w:r>
          </w:p>
        </w:tc>
        <w:tc>
          <w:tcPr>
            <w:tcW w:w="0" w:type="auto"/>
          </w:tcPr>
          <w:p w14:paraId="18C47DCA" w14:textId="77777777" w:rsidR="00D267CC" w:rsidRDefault="00D267CC" w:rsidP="00982378">
            <w:pPr>
              <w:pStyle w:val="ListParagraph"/>
              <w:numPr>
                <w:ilvl w:val="0"/>
                <w:numId w:val="4"/>
              </w:numPr>
              <w:ind w:left="360" w:hanging="270"/>
              <w:cnfStyle w:val="000000000000" w:firstRow="0" w:lastRow="0" w:firstColumn="0" w:lastColumn="0" w:oddVBand="0" w:evenVBand="0" w:oddHBand="0" w:evenHBand="0" w:firstRowFirstColumn="0" w:firstRowLastColumn="0" w:lastRowFirstColumn="0" w:lastRowLastColumn="0"/>
            </w:pPr>
            <w:r>
              <w:t>Largely a bookkeeping CDRL that will be submitted Prime, Inc.</w:t>
            </w:r>
          </w:p>
          <w:p w14:paraId="451A6C6C" w14:textId="77777777" w:rsidR="00C561B7" w:rsidRDefault="00D267CC" w:rsidP="00982378">
            <w:pPr>
              <w:pStyle w:val="ListParagraph"/>
              <w:numPr>
                <w:ilvl w:val="0"/>
                <w:numId w:val="4"/>
              </w:numPr>
              <w:ind w:left="360" w:hanging="270"/>
              <w:cnfStyle w:val="000000000000" w:firstRow="0" w:lastRow="0" w:firstColumn="0" w:lastColumn="0" w:oddVBand="0" w:evenVBand="0" w:oddHBand="0" w:evenHBand="0" w:firstRowFirstColumn="0" w:firstRowLastColumn="0" w:lastRowFirstColumn="0" w:lastRowLastColumn="0"/>
            </w:pPr>
            <w:r>
              <w:t>Little if any input needed from team</w:t>
            </w:r>
          </w:p>
        </w:tc>
      </w:tr>
    </w:tbl>
    <w:p w14:paraId="2AEF56C3" w14:textId="53E5E17C" w:rsidR="00B46BD9" w:rsidRPr="00B46BD9" w:rsidRDefault="00B46BD9" w:rsidP="00982378">
      <w:pPr>
        <w:spacing w:before="240"/>
      </w:pPr>
    </w:p>
    <w:sectPr w:rsidR="00B46BD9" w:rsidRPr="00B46BD9">
      <w:pgSz w:w="12240" w:h="15840" w:code="1"/>
      <w:pgMar w:top="2736" w:right="1080" w:bottom="1080" w:left="108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E8D0B" w14:textId="77777777" w:rsidR="007F2A35" w:rsidRDefault="007F2A35">
      <w:pPr>
        <w:spacing w:before="0" w:after="0" w:line="240" w:lineRule="auto"/>
      </w:pPr>
      <w:r>
        <w:separator/>
      </w:r>
    </w:p>
  </w:endnote>
  <w:endnote w:type="continuationSeparator" w:id="0">
    <w:p w14:paraId="669D129F" w14:textId="77777777" w:rsidR="007F2A35" w:rsidRDefault="007F2A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GｺﾞｼｯｸM">
    <w:panose1 w:val="020B0604020202020204"/>
    <w:charset w:val="00"/>
    <w:family w:val="roman"/>
    <w:notTrueType/>
    <w:pitch w:val="default"/>
  </w:font>
  <w:font w:name="Segoe UI">
    <w:altName w:val="Courier New"/>
    <w:panose1 w:val="020B0604020202020204"/>
    <w:charset w:val="00"/>
    <w:family w:val="swiss"/>
    <w:pitch w:val="variable"/>
    <w:sig w:usb0="E4002EFF" w:usb1="C000E47F" w:usb2="00000009" w:usb3="00000000" w:csb0="000001FF" w:csb1="00000000"/>
  </w:font>
  <w:font w:name="HGMinchoB">
    <w:altName w:val="HG明朝B"/>
    <w:panose1 w:val="020B0604020202020204"/>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2180" w14:textId="7C89C91C" w:rsidR="004503BC" w:rsidRDefault="00E0086E">
    <w:pPr>
      <w:pStyle w:val="Footer"/>
    </w:pPr>
    <w:r>
      <w:t xml:space="preserve">Page </w:t>
    </w:r>
    <w:r>
      <w:fldChar w:fldCharType="begin"/>
    </w:r>
    <w:r>
      <w:instrText xml:space="preserve"> PAGE </w:instrText>
    </w:r>
    <w:r>
      <w:fldChar w:fldCharType="separate"/>
    </w:r>
    <w:r w:rsidR="0054518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ED16D" w14:textId="77777777" w:rsidR="007F2A35" w:rsidRDefault="007F2A35">
      <w:pPr>
        <w:spacing w:before="0" w:after="0" w:line="240" w:lineRule="auto"/>
      </w:pPr>
      <w:r>
        <w:separator/>
      </w:r>
    </w:p>
  </w:footnote>
  <w:footnote w:type="continuationSeparator" w:id="0">
    <w:p w14:paraId="7BA18D87" w14:textId="77777777" w:rsidR="007F2A35" w:rsidRDefault="007F2A35">
      <w:pPr>
        <w:spacing w:before="0" w:after="0" w:line="240" w:lineRule="auto"/>
      </w:pPr>
      <w:r>
        <w:continuationSeparator/>
      </w:r>
    </w:p>
  </w:footnote>
  <w:footnote w:id="1">
    <w:p w14:paraId="363C4C95" w14:textId="7917EDF9" w:rsidR="001A041A" w:rsidRDefault="001A041A">
      <w:pPr>
        <w:pStyle w:val="FootnoteText"/>
      </w:pPr>
      <w:r>
        <w:rPr>
          <w:rStyle w:val="FootnoteReference"/>
        </w:rPr>
        <w:footnoteRef/>
      </w:r>
      <w:r>
        <w:t xml:space="preserve"> Like the “business clearance,” the contract clearance occurs within the IAC program management office and comprises a comprehensive legal review of the contracting documents.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B66"/>
    <w:multiLevelType w:val="hybridMultilevel"/>
    <w:tmpl w:val="92DC7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34ED4"/>
    <w:multiLevelType w:val="hybridMultilevel"/>
    <w:tmpl w:val="C030A5B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552D5E62"/>
    <w:multiLevelType w:val="hybridMultilevel"/>
    <w:tmpl w:val="59163AC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70C62883"/>
    <w:multiLevelType w:val="hybridMultilevel"/>
    <w:tmpl w:val="B0EA952C"/>
    <w:lvl w:ilvl="0" w:tplc="63E48800">
      <w:start w:val="1"/>
      <w:numFmt w:val="decimal"/>
      <w:lvlText w:val="%1."/>
      <w:lvlJc w:val="left"/>
      <w:pPr>
        <w:tabs>
          <w:tab w:val="num" w:pos="720"/>
        </w:tabs>
        <w:ind w:left="720" w:hanging="360"/>
      </w:pPr>
    </w:lvl>
    <w:lvl w:ilvl="1" w:tplc="E51866BE">
      <w:start w:val="1"/>
      <w:numFmt w:val="upperLetter"/>
      <w:lvlText w:val="%2."/>
      <w:lvlJc w:val="left"/>
      <w:pPr>
        <w:tabs>
          <w:tab w:val="num" w:pos="1440"/>
        </w:tabs>
        <w:ind w:left="1440" w:hanging="360"/>
      </w:pPr>
    </w:lvl>
    <w:lvl w:ilvl="2" w:tplc="F1248C5E">
      <w:start w:val="1"/>
      <w:numFmt w:val="upperLetter"/>
      <w:lvlText w:val="%3."/>
      <w:lvlJc w:val="left"/>
      <w:pPr>
        <w:tabs>
          <w:tab w:val="num" w:pos="2160"/>
        </w:tabs>
        <w:ind w:left="2160" w:hanging="360"/>
      </w:pPr>
    </w:lvl>
    <w:lvl w:ilvl="3" w:tplc="5C96616A" w:tentative="1">
      <w:start w:val="1"/>
      <w:numFmt w:val="decimal"/>
      <w:lvlText w:val="%4."/>
      <w:lvlJc w:val="left"/>
      <w:pPr>
        <w:tabs>
          <w:tab w:val="num" w:pos="2880"/>
        </w:tabs>
        <w:ind w:left="2880" w:hanging="360"/>
      </w:pPr>
    </w:lvl>
    <w:lvl w:ilvl="4" w:tplc="ABAEDC10" w:tentative="1">
      <w:start w:val="1"/>
      <w:numFmt w:val="decimal"/>
      <w:lvlText w:val="%5."/>
      <w:lvlJc w:val="left"/>
      <w:pPr>
        <w:tabs>
          <w:tab w:val="num" w:pos="3600"/>
        </w:tabs>
        <w:ind w:left="3600" w:hanging="360"/>
      </w:pPr>
    </w:lvl>
    <w:lvl w:ilvl="5" w:tplc="D236087A" w:tentative="1">
      <w:start w:val="1"/>
      <w:numFmt w:val="decimal"/>
      <w:lvlText w:val="%6."/>
      <w:lvlJc w:val="left"/>
      <w:pPr>
        <w:tabs>
          <w:tab w:val="num" w:pos="4320"/>
        </w:tabs>
        <w:ind w:left="4320" w:hanging="360"/>
      </w:pPr>
    </w:lvl>
    <w:lvl w:ilvl="6" w:tplc="A87AECF2" w:tentative="1">
      <w:start w:val="1"/>
      <w:numFmt w:val="decimal"/>
      <w:lvlText w:val="%7."/>
      <w:lvlJc w:val="left"/>
      <w:pPr>
        <w:tabs>
          <w:tab w:val="num" w:pos="5040"/>
        </w:tabs>
        <w:ind w:left="5040" w:hanging="360"/>
      </w:pPr>
    </w:lvl>
    <w:lvl w:ilvl="7" w:tplc="8D8EE916" w:tentative="1">
      <w:start w:val="1"/>
      <w:numFmt w:val="decimal"/>
      <w:lvlText w:val="%8."/>
      <w:lvlJc w:val="left"/>
      <w:pPr>
        <w:tabs>
          <w:tab w:val="num" w:pos="5760"/>
        </w:tabs>
        <w:ind w:left="5760" w:hanging="360"/>
      </w:pPr>
    </w:lvl>
    <w:lvl w:ilvl="8" w:tplc="A008FBCE"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9D"/>
    <w:rsid w:val="00040D8A"/>
    <w:rsid w:val="000E1173"/>
    <w:rsid w:val="00107677"/>
    <w:rsid w:val="001A041A"/>
    <w:rsid w:val="001B5863"/>
    <w:rsid w:val="001E7626"/>
    <w:rsid w:val="002303E7"/>
    <w:rsid w:val="00251C65"/>
    <w:rsid w:val="00253612"/>
    <w:rsid w:val="00287452"/>
    <w:rsid w:val="003D6C97"/>
    <w:rsid w:val="003F0C78"/>
    <w:rsid w:val="004503BC"/>
    <w:rsid w:val="004C3E8E"/>
    <w:rsid w:val="00531DA0"/>
    <w:rsid w:val="00545182"/>
    <w:rsid w:val="005B338F"/>
    <w:rsid w:val="005D3A3A"/>
    <w:rsid w:val="005D6F4D"/>
    <w:rsid w:val="005F19A2"/>
    <w:rsid w:val="00632EA9"/>
    <w:rsid w:val="006756BF"/>
    <w:rsid w:val="00697C88"/>
    <w:rsid w:val="006B1652"/>
    <w:rsid w:val="006E2AEE"/>
    <w:rsid w:val="006F7D39"/>
    <w:rsid w:val="00716153"/>
    <w:rsid w:val="007524EE"/>
    <w:rsid w:val="0076609E"/>
    <w:rsid w:val="007F2A35"/>
    <w:rsid w:val="008112F3"/>
    <w:rsid w:val="00852E55"/>
    <w:rsid w:val="00873BBA"/>
    <w:rsid w:val="00937840"/>
    <w:rsid w:val="00954A14"/>
    <w:rsid w:val="00982378"/>
    <w:rsid w:val="009B4068"/>
    <w:rsid w:val="009C75DE"/>
    <w:rsid w:val="00B355FC"/>
    <w:rsid w:val="00B425CC"/>
    <w:rsid w:val="00B46BD9"/>
    <w:rsid w:val="00BD29A8"/>
    <w:rsid w:val="00C1361C"/>
    <w:rsid w:val="00C561B7"/>
    <w:rsid w:val="00D267CC"/>
    <w:rsid w:val="00D866C4"/>
    <w:rsid w:val="00D912D2"/>
    <w:rsid w:val="00E0086E"/>
    <w:rsid w:val="00E828FA"/>
    <w:rsid w:val="00EB2CA1"/>
    <w:rsid w:val="00F60552"/>
    <w:rsid w:val="00F65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744B3C"/>
  <w15:docId w15:val="{3AA69B4C-2D42-9E40-A9BC-F4A36C31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9"/>
    <w:unhideWhenUsed/>
    <w:qFormat/>
    <w:pPr>
      <w:pageBreakBefore/>
      <w:spacing w:before="0" w:after="360" w:line="240" w:lineRule="auto"/>
      <w:ind w:left="-360" w:right="-360"/>
      <w:outlineLvl w:val="0"/>
    </w:pPr>
    <w:rPr>
      <w:rFonts w:asciiTheme="majorHAnsi" w:eastAsiaTheme="majorEastAsia" w:hAnsiTheme="majorHAnsi" w:cstheme="majorBidi"/>
      <w:sz w:val="36"/>
    </w:rPr>
  </w:style>
  <w:style w:type="paragraph" w:styleId="Heading2">
    <w:name w:val="heading 2"/>
    <w:basedOn w:val="Normal"/>
    <w:next w:val="Normal"/>
    <w:link w:val="Heading2Char"/>
    <w:uiPriority w:val="9"/>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qFormat/>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kern w:val="20"/>
      <w:sz w:val="36"/>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577188" w:themeColor="accent1" w:themeShade="BF"/>
      <w:kern w:val="20"/>
      <w:sz w:val="24"/>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LetterheadTable">
    <w:name w:val="Letterhead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1"/>
    <w:qFormat/>
    <w:pPr>
      <w:spacing w:before="1200" w:after="360"/>
    </w:pPr>
    <w:rPr>
      <w:rFonts w:asciiTheme="majorHAnsi" w:eastAsiaTheme="majorEastAsia" w:hAnsiTheme="majorHAnsi" w:cstheme="majorBidi"/>
      <w:caps/>
      <w:color w:val="577188" w:themeColor="accent1" w:themeShade="BF"/>
    </w:rPr>
  </w:style>
  <w:style w:type="character" w:customStyle="1" w:styleId="DateChar">
    <w:name w:val="Date Char"/>
    <w:basedOn w:val="DefaultParagraphFont"/>
    <w:link w:val="Date"/>
    <w:uiPriority w:val="1"/>
    <w:rPr>
      <w:rFonts w:asciiTheme="majorHAnsi" w:eastAsiaTheme="majorEastAsia" w:hAnsiTheme="majorHAnsi" w:cstheme="majorBidi"/>
      <w:caps/>
      <w:color w:val="577188" w:themeColor="accent1" w:themeShade="BF"/>
      <w:kern w:val="20"/>
    </w:rPr>
  </w:style>
  <w:style w:type="paragraph" w:customStyle="1" w:styleId="Recipient">
    <w:name w:val="Recipient"/>
    <w:basedOn w:val="Normal"/>
    <w:qFormat/>
    <w:pPr>
      <w:spacing w:after="40"/>
    </w:pPr>
    <w:rPr>
      <w:b/>
      <w:bCs/>
    </w:rPr>
  </w:style>
  <w:style w:type="paragraph" w:styleId="Salutation">
    <w:name w:val="Salutation"/>
    <w:basedOn w:val="Normal"/>
    <w:next w:val="Normal"/>
    <w:link w:val="SalutationChar"/>
    <w:uiPriority w:val="1"/>
    <w:unhideWhenUsed/>
    <w:qFormat/>
    <w:pPr>
      <w:spacing w:before="720"/>
    </w:pPr>
  </w:style>
  <w:style w:type="character" w:customStyle="1" w:styleId="SalutationChar">
    <w:name w:val="Salutation Char"/>
    <w:basedOn w:val="DefaultParagraphFont"/>
    <w:link w:val="Salutation"/>
    <w:uiPriority w:val="1"/>
    <w:rPr>
      <w:kern w:val="20"/>
    </w:rPr>
  </w:style>
  <w:style w:type="paragraph" w:styleId="Closing">
    <w:name w:val="Closing"/>
    <w:basedOn w:val="Normal"/>
    <w:link w:val="ClosingChar"/>
    <w:uiPriority w:val="1"/>
    <w:unhideWhenUsed/>
    <w:qFormat/>
    <w:pPr>
      <w:spacing w:before="480" w:after="960" w:line="240" w:lineRule="auto"/>
    </w:pPr>
  </w:style>
  <w:style w:type="character" w:customStyle="1" w:styleId="ClosingChar">
    <w:name w:val="Closing Char"/>
    <w:basedOn w:val="DefaultParagraphFont"/>
    <w:link w:val="Closing"/>
    <w:uiPriority w:val="1"/>
    <w:rPr>
      <w:kern w:val="20"/>
    </w:rPr>
  </w:style>
  <w:style w:type="paragraph" w:styleId="Signature">
    <w:name w:val="Signature"/>
    <w:basedOn w:val="Normal"/>
    <w:link w:val="SignatureChar"/>
    <w:uiPriority w:val="1"/>
    <w:unhideWhenUsed/>
    <w:qFormat/>
    <w:rPr>
      <w:b/>
      <w:bCs/>
    </w:rPr>
  </w:style>
  <w:style w:type="character" w:customStyle="1" w:styleId="SignatureChar">
    <w:name w:val="Signature Char"/>
    <w:basedOn w:val="DefaultParagraphFont"/>
    <w:link w:val="Signature"/>
    <w:uiPriority w:val="1"/>
    <w:rPr>
      <w:b/>
      <w:bCs/>
      <w:kern w:val="20"/>
    </w:rPr>
  </w:style>
  <w:style w:type="paragraph" w:styleId="Title">
    <w:name w:val="Title"/>
    <w:basedOn w:val="Normal"/>
    <w:next w:val="Normal"/>
    <w:link w:val="TitleChar"/>
    <w:uiPriority w:val="1"/>
    <w:qFormat/>
    <w:pPr>
      <w:spacing w:after="480"/>
    </w:pPr>
    <w:rPr>
      <w:rFonts w:asciiTheme="majorHAnsi" w:eastAsiaTheme="majorEastAsia" w:hAnsiTheme="majorHAnsi" w:cstheme="majorBidi"/>
      <w:caps/>
      <w:color w:val="577188" w:themeColor="accent1" w:themeShade="BF"/>
    </w:rPr>
  </w:style>
  <w:style w:type="character" w:customStyle="1" w:styleId="TitleChar">
    <w:name w:val="Title Char"/>
    <w:basedOn w:val="DefaultParagraphFont"/>
    <w:link w:val="Title"/>
    <w:uiPriority w:val="1"/>
    <w:rPr>
      <w:rFonts w:asciiTheme="majorHAnsi" w:eastAsiaTheme="majorEastAsia" w:hAnsiTheme="majorHAnsi" w:cstheme="majorBidi"/>
      <w:caps/>
      <w:color w:val="577188" w:themeColor="accent1" w:themeShade="BF"/>
      <w:kern w:val="20"/>
    </w:rPr>
  </w:style>
  <w:style w:type="character" w:styleId="Hyperlink">
    <w:name w:val="Hyperlink"/>
    <w:basedOn w:val="DefaultParagraphFont"/>
    <w:uiPriority w:val="99"/>
    <w:unhideWhenUsed/>
    <w:rsid w:val="00873BBA"/>
    <w:rPr>
      <w:color w:val="646464" w:themeColor="hyperlink"/>
      <w:u w:val="single"/>
    </w:rPr>
  </w:style>
  <w:style w:type="paragraph" w:styleId="Caption">
    <w:name w:val="caption"/>
    <w:basedOn w:val="Normal"/>
    <w:next w:val="Normal"/>
    <w:uiPriority w:val="35"/>
    <w:unhideWhenUsed/>
    <w:qFormat/>
    <w:rsid w:val="006B1652"/>
    <w:pPr>
      <w:spacing w:before="0" w:after="200" w:line="240" w:lineRule="auto"/>
    </w:pPr>
    <w:rPr>
      <w:i/>
      <w:iCs/>
      <w:color w:val="1F2123" w:themeColor="text2"/>
      <w:sz w:val="18"/>
      <w:szCs w:val="18"/>
    </w:rPr>
  </w:style>
  <w:style w:type="paragraph" w:styleId="ListParagraph">
    <w:name w:val="List Paragraph"/>
    <w:basedOn w:val="Normal"/>
    <w:uiPriority w:val="34"/>
    <w:qFormat/>
    <w:rsid w:val="000E1173"/>
    <w:pPr>
      <w:ind w:left="720"/>
      <w:contextualSpacing/>
    </w:pPr>
  </w:style>
  <w:style w:type="character" w:styleId="CommentReference">
    <w:name w:val="annotation reference"/>
    <w:basedOn w:val="DefaultParagraphFont"/>
    <w:uiPriority w:val="99"/>
    <w:semiHidden/>
    <w:unhideWhenUsed/>
    <w:rsid w:val="005D6F4D"/>
    <w:rPr>
      <w:sz w:val="16"/>
      <w:szCs w:val="16"/>
    </w:rPr>
  </w:style>
  <w:style w:type="paragraph" w:styleId="CommentText">
    <w:name w:val="annotation text"/>
    <w:basedOn w:val="Normal"/>
    <w:link w:val="CommentTextChar"/>
    <w:uiPriority w:val="99"/>
    <w:semiHidden/>
    <w:unhideWhenUsed/>
    <w:rsid w:val="005D6F4D"/>
    <w:pPr>
      <w:spacing w:line="240" w:lineRule="auto"/>
    </w:pPr>
  </w:style>
  <w:style w:type="character" w:customStyle="1" w:styleId="CommentTextChar">
    <w:name w:val="Comment Text Char"/>
    <w:basedOn w:val="DefaultParagraphFont"/>
    <w:link w:val="CommentText"/>
    <w:uiPriority w:val="99"/>
    <w:semiHidden/>
    <w:rsid w:val="005D6F4D"/>
    <w:rPr>
      <w:kern w:val="20"/>
    </w:rPr>
  </w:style>
  <w:style w:type="paragraph" w:styleId="CommentSubject">
    <w:name w:val="annotation subject"/>
    <w:basedOn w:val="CommentText"/>
    <w:next w:val="CommentText"/>
    <w:link w:val="CommentSubjectChar"/>
    <w:uiPriority w:val="99"/>
    <w:semiHidden/>
    <w:unhideWhenUsed/>
    <w:rsid w:val="005D6F4D"/>
    <w:rPr>
      <w:b/>
      <w:bCs/>
    </w:rPr>
  </w:style>
  <w:style w:type="character" w:customStyle="1" w:styleId="CommentSubjectChar">
    <w:name w:val="Comment Subject Char"/>
    <w:basedOn w:val="CommentTextChar"/>
    <w:link w:val="CommentSubject"/>
    <w:uiPriority w:val="99"/>
    <w:semiHidden/>
    <w:rsid w:val="005D6F4D"/>
    <w:rPr>
      <w:b/>
      <w:bCs/>
      <w:kern w:val="20"/>
    </w:rPr>
  </w:style>
  <w:style w:type="paragraph" w:styleId="BalloonText">
    <w:name w:val="Balloon Text"/>
    <w:basedOn w:val="Normal"/>
    <w:link w:val="BalloonTextChar"/>
    <w:uiPriority w:val="99"/>
    <w:semiHidden/>
    <w:unhideWhenUsed/>
    <w:rsid w:val="005D6F4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F4D"/>
    <w:rPr>
      <w:rFonts w:ascii="Segoe UI" w:hAnsi="Segoe UI" w:cs="Segoe UI"/>
      <w:kern w:val="20"/>
      <w:sz w:val="18"/>
      <w:szCs w:val="18"/>
    </w:rPr>
  </w:style>
  <w:style w:type="paragraph" w:styleId="FootnoteText">
    <w:name w:val="footnote text"/>
    <w:basedOn w:val="Normal"/>
    <w:link w:val="FootnoteTextChar"/>
    <w:uiPriority w:val="99"/>
    <w:semiHidden/>
    <w:unhideWhenUsed/>
    <w:rsid w:val="001A041A"/>
    <w:pPr>
      <w:spacing w:before="0" w:after="0" w:line="240" w:lineRule="auto"/>
    </w:pPr>
  </w:style>
  <w:style w:type="character" w:customStyle="1" w:styleId="FootnoteTextChar">
    <w:name w:val="Footnote Text Char"/>
    <w:basedOn w:val="DefaultParagraphFont"/>
    <w:link w:val="FootnoteText"/>
    <w:uiPriority w:val="99"/>
    <w:semiHidden/>
    <w:rsid w:val="001A041A"/>
    <w:rPr>
      <w:kern w:val="20"/>
    </w:rPr>
  </w:style>
  <w:style w:type="character" w:styleId="FootnoteReference">
    <w:name w:val="footnote reference"/>
    <w:basedOn w:val="DefaultParagraphFont"/>
    <w:uiPriority w:val="99"/>
    <w:semiHidden/>
    <w:unhideWhenUsed/>
    <w:rsid w:val="001A0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763180">
      <w:bodyDiv w:val="1"/>
      <w:marLeft w:val="0"/>
      <w:marRight w:val="0"/>
      <w:marTop w:val="0"/>
      <w:marBottom w:val="0"/>
      <w:divBdr>
        <w:top w:val="none" w:sz="0" w:space="0" w:color="auto"/>
        <w:left w:val="none" w:sz="0" w:space="0" w:color="auto"/>
        <w:bottom w:val="none" w:sz="0" w:space="0" w:color="auto"/>
        <w:right w:val="none" w:sz="0" w:space="0" w:color="auto"/>
      </w:divBdr>
    </w:div>
    <w:div w:id="428739602">
      <w:bodyDiv w:val="1"/>
      <w:marLeft w:val="0"/>
      <w:marRight w:val="0"/>
      <w:marTop w:val="0"/>
      <w:marBottom w:val="0"/>
      <w:divBdr>
        <w:top w:val="none" w:sz="0" w:space="0" w:color="auto"/>
        <w:left w:val="none" w:sz="0" w:space="0" w:color="auto"/>
        <w:bottom w:val="none" w:sz="0" w:space="0" w:color="auto"/>
        <w:right w:val="none" w:sz="0" w:space="0" w:color="auto"/>
      </w:divBdr>
      <w:divsChild>
        <w:div w:id="2040542746">
          <w:marLeft w:val="547"/>
          <w:marRight w:val="0"/>
          <w:marTop w:val="0"/>
          <w:marBottom w:val="0"/>
          <w:divBdr>
            <w:top w:val="none" w:sz="0" w:space="0" w:color="auto"/>
            <w:left w:val="none" w:sz="0" w:space="0" w:color="auto"/>
            <w:bottom w:val="none" w:sz="0" w:space="0" w:color="auto"/>
            <w:right w:val="none" w:sz="0" w:space="0" w:color="auto"/>
          </w:divBdr>
        </w:div>
        <w:div w:id="517038242">
          <w:marLeft w:val="1267"/>
          <w:marRight w:val="0"/>
          <w:marTop w:val="0"/>
          <w:marBottom w:val="0"/>
          <w:divBdr>
            <w:top w:val="none" w:sz="0" w:space="0" w:color="auto"/>
            <w:left w:val="none" w:sz="0" w:space="0" w:color="auto"/>
            <w:bottom w:val="none" w:sz="0" w:space="0" w:color="auto"/>
            <w:right w:val="none" w:sz="0" w:space="0" w:color="auto"/>
          </w:divBdr>
        </w:div>
        <w:div w:id="730425262">
          <w:marLeft w:val="1267"/>
          <w:marRight w:val="0"/>
          <w:marTop w:val="0"/>
          <w:marBottom w:val="0"/>
          <w:divBdr>
            <w:top w:val="none" w:sz="0" w:space="0" w:color="auto"/>
            <w:left w:val="none" w:sz="0" w:space="0" w:color="auto"/>
            <w:bottom w:val="none" w:sz="0" w:space="0" w:color="auto"/>
            <w:right w:val="none" w:sz="0" w:space="0" w:color="auto"/>
          </w:divBdr>
        </w:div>
        <w:div w:id="93870900">
          <w:marLeft w:val="1267"/>
          <w:marRight w:val="0"/>
          <w:marTop w:val="0"/>
          <w:marBottom w:val="0"/>
          <w:divBdr>
            <w:top w:val="none" w:sz="0" w:space="0" w:color="auto"/>
            <w:left w:val="none" w:sz="0" w:space="0" w:color="auto"/>
            <w:bottom w:val="none" w:sz="0" w:space="0" w:color="auto"/>
            <w:right w:val="none" w:sz="0" w:space="0" w:color="auto"/>
          </w:divBdr>
        </w:div>
        <w:div w:id="2013022076">
          <w:marLeft w:val="547"/>
          <w:marRight w:val="0"/>
          <w:marTop w:val="0"/>
          <w:marBottom w:val="0"/>
          <w:divBdr>
            <w:top w:val="none" w:sz="0" w:space="0" w:color="auto"/>
            <w:left w:val="none" w:sz="0" w:space="0" w:color="auto"/>
            <w:bottom w:val="none" w:sz="0" w:space="0" w:color="auto"/>
            <w:right w:val="none" w:sz="0" w:space="0" w:color="auto"/>
          </w:divBdr>
        </w:div>
        <w:div w:id="1318995175">
          <w:marLeft w:val="1267"/>
          <w:marRight w:val="0"/>
          <w:marTop w:val="0"/>
          <w:marBottom w:val="0"/>
          <w:divBdr>
            <w:top w:val="none" w:sz="0" w:space="0" w:color="auto"/>
            <w:left w:val="none" w:sz="0" w:space="0" w:color="auto"/>
            <w:bottom w:val="none" w:sz="0" w:space="0" w:color="auto"/>
            <w:right w:val="none" w:sz="0" w:space="0" w:color="auto"/>
          </w:divBdr>
        </w:div>
        <w:div w:id="204148950">
          <w:marLeft w:val="1267"/>
          <w:marRight w:val="0"/>
          <w:marTop w:val="0"/>
          <w:marBottom w:val="0"/>
          <w:divBdr>
            <w:top w:val="none" w:sz="0" w:space="0" w:color="auto"/>
            <w:left w:val="none" w:sz="0" w:space="0" w:color="auto"/>
            <w:bottom w:val="none" w:sz="0" w:space="0" w:color="auto"/>
            <w:right w:val="none" w:sz="0" w:space="0" w:color="auto"/>
          </w:divBdr>
        </w:div>
        <w:div w:id="1868331711">
          <w:marLeft w:val="1267"/>
          <w:marRight w:val="0"/>
          <w:marTop w:val="0"/>
          <w:marBottom w:val="0"/>
          <w:divBdr>
            <w:top w:val="none" w:sz="0" w:space="0" w:color="auto"/>
            <w:left w:val="none" w:sz="0" w:space="0" w:color="auto"/>
            <w:bottom w:val="none" w:sz="0" w:space="0" w:color="auto"/>
            <w:right w:val="none" w:sz="0" w:space="0" w:color="auto"/>
          </w:divBdr>
        </w:div>
        <w:div w:id="2107340157">
          <w:marLeft w:val="1267"/>
          <w:marRight w:val="0"/>
          <w:marTop w:val="0"/>
          <w:marBottom w:val="0"/>
          <w:divBdr>
            <w:top w:val="none" w:sz="0" w:space="0" w:color="auto"/>
            <w:left w:val="none" w:sz="0" w:space="0" w:color="auto"/>
            <w:bottom w:val="none" w:sz="0" w:space="0" w:color="auto"/>
            <w:right w:val="none" w:sz="0" w:space="0" w:color="auto"/>
          </w:divBdr>
        </w:div>
        <w:div w:id="766197965">
          <w:marLeft w:val="547"/>
          <w:marRight w:val="0"/>
          <w:marTop w:val="0"/>
          <w:marBottom w:val="0"/>
          <w:divBdr>
            <w:top w:val="none" w:sz="0" w:space="0" w:color="auto"/>
            <w:left w:val="none" w:sz="0" w:space="0" w:color="auto"/>
            <w:bottom w:val="none" w:sz="0" w:space="0" w:color="auto"/>
            <w:right w:val="none" w:sz="0" w:space="0" w:color="auto"/>
          </w:divBdr>
        </w:div>
        <w:div w:id="627319397">
          <w:marLeft w:val="1267"/>
          <w:marRight w:val="0"/>
          <w:marTop w:val="0"/>
          <w:marBottom w:val="0"/>
          <w:divBdr>
            <w:top w:val="none" w:sz="0" w:space="0" w:color="auto"/>
            <w:left w:val="none" w:sz="0" w:space="0" w:color="auto"/>
            <w:bottom w:val="none" w:sz="0" w:space="0" w:color="auto"/>
            <w:right w:val="none" w:sz="0" w:space="0" w:color="auto"/>
          </w:divBdr>
        </w:div>
        <w:div w:id="826094893">
          <w:marLeft w:val="1267"/>
          <w:marRight w:val="0"/>
          <w:marTop w:val="0"/>
          <w:marBottom w:val="0"/>
          <w:divBdr>
            <w:top w:val="none" w:sz="0" w:space="0" w:color="auto"/>
            <w:left w:val="none" w:sz="0" w:space="0" w:color="auto"/>
            <w:bottom w:val="none" w:sz="0" w:space="0" w:color="auto"/>
            <w:right w:val="none" w:sz="0" w:space="0" w:color="auto"/>
          </w:divBdr>
        </w:div>
        <w:div w:id="680621386">
          <w:marLeft w:val="1987"/>
          <w:marRight w:val="0"/>
          <w:marTop w:val="0"/>
          <w:marBottom w:val="0"/>
          <w:divBdr>
            <w:top w:val="none" w:sz="0" w:space="0" w:color="auto"/>
            <w:left w:val="none" w:sz="0" w:space="0" w:color="auto"/>
            <w:bottom w:val="none" w:sz="0" w:space="0" w:color="auto"/>
            <w:right w:val="none" w:sz="0" w:space="0" w:color="auto"/>
          </w:divBdr>
        </w:div>
        <w:div w:id="1468207434">
          <w:marLeft w:val="1987"/>
          <w:marRight w:val="0"/>
          <w:marTop w:val="0"/>
          <w:marBottom w:val="0"/>
          <w:divBdr>
            <w:top w:val="none" w:sz="0" w:space="0" w:color="auto"/>
            <w:left w:val="none" w:sz="0" w:space="0" w:color="auto"/>
            <w:bottom w:val="none" w:sz="0" w:space="0" w:color="auto"/>
            <w:right w:val="none" w:sz="0" w:space="0" w:color="auto"/>
          </w:divBdr>
        </w:div>
        <w:div w:id="1866013681">
          <w:marLeft w:val="547"/>
          <w:marRight w:val="0"/>
          <w:marTop w:val="0"/>
          <w:marBottom w:val="0"/>
          <w:divBdr>
            <w:top w:val="none" w:sz="0" w:space="0" w:color="auto"/>
            <w:left w:val="none" w:sz="0" w:space="0" w:color="auto"/>
            <w:bottom w:val="none" w:sz="0" w:space="0" w:color="auto"/>
            <w:right w:val="none" w:sz="0" w:space="0" w:color="auto"/>
          </w:divBdr>
        </w:div>
        <w:div w:id="1287010218">
          <w:marLeft w:val="1267"/>
          <w:marRight w:val="0"/>
          <w:marTop w:val="0"/>
          <w:marBottom w:val="0"/>
          <w:divBdr>
            <w:top w:val="none" w:sz="0" w:space="0" w:color="auto"/>
            <w:left w:val="none" w:sz="0" w:space="0" w:color="auto"/>
            <w:bottom w:val="none" w:sz="0" w:space="0" w:color="auto"/>
            <w:right w:val="none" w:sz="0" w:space="0" w:color="auto"/>
          </w:divBdr>
        </w:div>
        <w:div w:id="169562621">
          <w:marLeft w:val="1267"/>
          <w:marRight w:val="0"/>
          <w:marTop w:val="0"/>
          <w:marBottom w:val="0"/>
          <w:divBdr>
            <w:top w:val="none" w:sz="0" w:space="0" w:color="auto"/>
            <w:left w:val="none" w:sz="0" w:space="0" w:color="auto"/>
            <w:bottom w:val="none" w:sz="0" w:space="0" w:color="auto"/>
            <w:right w:val="none" w:sz="0" w:space="0" w:color="auto"/>
          </w:divBdr>
        </w:div>
        <w:div w:id="2077969936">
          <w:marLeft w:val="1987"/>
          <w:marRight w:val="0"/>
          <w:marTop w:val="0"/>
          <w:marBottom w:val="0"/>
          <w:divBdr>
            <w:top w:val="none" w:sz="0" w:space="0" w:color="auto"/>
            <w:left w:val="none" w:sz="0" w:space="0" w:color="auto"/>
            <w:bottom w:val="none" w:sz="0" w:space="0" w:color="auto"/>
            <w:right w:val="none" w:sz="0" w:space="0" w:color="auto"/>
          </w:divBdr>
        </w:div>
        <w:div w:id="493254154">
          <w:marLeft w:val="1267"/>
          <w:marRight w:val="0"/>
          <w:marTop w:val="0"/>
          <w:marBottom w:val="0"/>
          <w:divBdr>
            <w:top w:val="none" w:sz="0" w:space="0" w:color="auto"/>
            <w:left w:val="none" w:sz="0" w:space="0" w:color="auto"/>
            <w:bottom w:val="none" w:sz="0" w:space="0" w:color="auto"/>
            <w:right w:val="none" w:sz="0" w:space="0" w:color="auto"/>
          </w:divBdr>
        </w:div>
      </w:divsChild>
    </w:div>
    <w:div w:id="891500998">
      <w:bodyDiv w:val="1"/>
      <w:marLeft w:val="0"/>
      <w:marRight w:val="0"/>
      <w:marTop w:val="0"/>
      <w:marBottom w:val="0"/>
      <w:divBdr>
        <w:top w:val="none" w:sz="0" w:space="0" w:color="auto"/>
        <w:left w:val="none" w:sz="0" w:space="0" w:color="auto"/>
        <w:bottom w:val="none" w:sz="0" w:space="0" w:color="auto"/>
        <w:right w:val="none" w:sz="0" w:space="0" w:color="auto"/>
      </w:divBdr>
    </w:div>
    <w:div w:id="1020013681">
      <w:bodyDiv w:val="1"/>
      <w:marLeft w:val="0"/>
      <w:marRight w:val="0"/>
      <w:marTop w:val="0"/>
      <w:marBottom w:val="0"/>
      <w:divBdr>
        <w:top w:val="none" w:sz="0" w:space="0" w:color="auto"/>
        <w:left w:val="none" w:sz="0" w:space="0" w:color="auto"/>
        <w:bottom w:val="none" w:sz="0" w:space="0" w:color="auto"/>
        <w:right w:val="none" w:sz="0" w:space="0" w:color="auto"/>
      </w:divBdr>
    </w:div>
    <w:div w:id="176463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tic.belvoir.iac.mbx.csc@mail.m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TimelessLetter.dotx" TargetMode="External"/></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AssetEditForm</Edit>
  <New>DocumentLibraryForm</New>
</FormTemplat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16A1A-1C43-443B-8ED7-1A415C322584}">
  <ds:schemaRefs>
    <ds:schemaRef ds:uri="http://schemas.microsoft.com/sharepoint/v3/contenttype/forms"/>
  </ds:schemaRefs>
</ds:datastoreItem>
</file>

<file path=customXml/itemProps2.xml><?xml version="1.0" encoding="utf-8"?>
<ds:datastoreItem xmlns:ds="http://schemas.openxmlformats.org/officeDocument/2006/customXml" ds:itemID="{E437E9E5-EE29-454F-8714-516920628209}">
  <ds:schemaRefs>
    <ds:schemaRef ds:uri="http://schemas.microsoft.com/pics"/>
  </ds:schemaRefs>
</ds:datastoreItem>
</file>

<file path=customXml/itemProps3.xml><?xml version="1.0" encoding="utf-8"?>
<ds:datastoreItem xmlns:ds="http://schemas.openxmlformats.org/officeDocument/2006/customXml" ds:itemID="{D5AE1E00-3320-F143-BAAA-BA5F4FB09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(x86)\Microsoft Office\Templates\1033\TimelessLetter.dotx</Template>
  <TotalTime>1</TotalTime>
  <Pages>3</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James E McCarthy</dc:creator>
  <cp:keywords/>
  <cp:lastModifiedBy>Microsoft Office User</cp:lastModifiedBy>
  <cp:revision>2</cp:revision>
  <dcterms:created xsi:type="dcterms:W3CDTF">2019-07-08T20:47:00Z</dcterms:created>
  <dcterms:modified xsi:type="dcterms:W3CDTF">2019-07-08T20:47:00Z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ies>
</file>